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1.jpg" ContentType="image/jpeg"/>
  <Override PartName="/word/media/rId34.jpg" ContentType="image/jpeg"/>
  <Override PartName="/word/media/rId37.jpg" ContentType="image/jpeg"/>
  <Override PartName="/word/media/rId41.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 :</w:t>
      </w:r>
    </w:p>
    <w:p>
      <w:pPr>
        <w:pStyle w:val="BodyText"/>
      </w:pPr>
      <w:r>
        <w:t xml:space="preserve">Luca L. Morreale</w:t>
      </w:r>
      <w:r>
        <w:rPr>
          <w:vertAlign w:val="superscript"/>
        </w:rPr>
        <w:t xml:space="preserve">1,2</w:t>
      </w:r>
      <w:r>
        <w:t xml:space="preserve">*</w:t>
      </w:r>
    </w:p>
    <w:p>
      <w:pPr>
        <w:pStyle w:val="BodyText"/>
      </w:pPr>
      <w:r>
        <w:t xml:space="preserve">Rachel Hoffman</w:t>
      </w:r>
      <w:r>
        <w:rPr>
          <w:vertAlign w:val="superscript"/>
        </w:rPr>
        <w:t xml:space="preserve">1</w:t>
      </w:r>
    </w:p>
    <w:p>
      <w:pPr>
        <w:pStyle w:val="BodyText"/>
      </w:pPr>
      <w:r>
        <w:t xml:space="preserve">Krystal Bagnaschi</w:t>
      </w:r>
      <w:r>
        <w:rPr>
          <w:vertAlign w:val="superscript"/>
        </w:rPr>
        <w:t xml:space="preserve">1</w:t>
      </w:r>
    </w:p>
    <w:p>
      <w:pPr>
        <w:pStyle w:val="BodyText"/>
      </w:pPr>
      <w:r>
        <w:t xml:space="preserve">Iris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r>
        <w:t xml:space="preserve"> </w:t>
      </w:r>
      <w:r>
        <w:t xml:space="preserve">( Orcid ID : 0000-0001-8305-6672)</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pStyle w:val="FirstParagraph"/>
      </w:pPr>
      <w:r>
        <w:rPr>
          <w:iCs/>
          <w:i/>
        </w:rPr>
        <w:t xml:space="preserve">Summary format for New Phytologist must be under 200 words and should be organized using four bullet points to indicate: (1) the research conducted, including the rationale, (2) methods, (3) key results, and (4) the main conclusion, including the key points of discussion</w:t>
      </w:r>
    </w:p>
    <w:p>
      <w:pPr>
        <w:pStyle w:val="BodyText"/>
      </w:pPr>
      <w:r>
        <w:t xml:space="preserve">Temperate deciduous forests play a critical role in the global carbon (C) cycle, accounting for a substantial portion of the global forest C sink. The dominant view imbued in Earth System Models is that, at least within the eastern United States, the biome is likely to remain a C sink throughout the 21st century. However, these models do not incorporate nuisance species –</w:t>
      </w:r>
      <w:r>
        <w:t xml:space="preserve"> </w:t>
      </w:r>
      <w:r>
        <w:rPr>
          <w:iCs/>
          <w:i/>
        </w:rPr>
        <w:t xml:space="preserve">i.e.</w:t>
      </w:r>
      <w:r>
        <w:t xml:space="preserve">, species whose local abundance has increased as a result of human activities and that are causing ecological harm. Nuisance species are known to increase tree mortality (</w:t>
      </w:r>
      <w:r>
        <w:rPr>
          <w:iCs/>
          <w:i/>
        </w:rPr>
        <w:t xml:space="preserve">e.g.</w:t>
      </w:r>
      <w:r>
        <w:t xml:space="preserve">, non-endemic pests and pathogens) and decrease recruitment (</w:t>
      </w:r>
      <w:r>
        <w:rPr>
          <w:iCs/>
          <w:i/>
        </w:rPr>
        <w:t xml:space="preserve">e.g.</w:t>
      </w:r>
      <w:r>
        <w:t xml:space="preserve">, deer and non-endemic plants) throughout the temperate deciduous biome, yet the net effect on current and future C cycling is unknown. Here, we use 15 years of detailed census data from a large (25.6 ha) forest dynamics plot in a Mid-Atlantic temperate forest, including a 4-ha deer exclosure, to understand how nuisance species are affecting C cycling. We show increased biomass mortality, a net reduction in aboveground C storage, and decreased abundance of canopy tree species in the understory. Under current trends this forest will continue to lose C sequestration capacity, indicating that the C sequestration of temperate deciduous forests is likely overestimated.</w:t>
      </w:r>
    </w:p>
    <w:p>
      <w:pPr>
        <w:pStyle w:val="BodyText"/>
      </w:pPr>
      <w:r>
        <w:rPr>
          <w:bCs/>
          <w:b/>
        </w:rPr>
        <w:t xml:space="preserve">Keywords</w:t>
      </w:r>
      <w:r>
        <w:t xml:space="preserve">:</w:t>
      </w:r>
    </w:p>
    <w:p>
      <w:pPr>
        <w:pStyle w:val="BodyText"/>
      </w:pPr>
      <w:r>
        <w:rPr>
          <w:iCs/>
          <w:i/>
        </w:rPr>
        <w:t xml:space="preserve">New Phytologist allows 5-8 keywords. Short phrases are acceptable</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One mechanism that is not represented in global C models is the impact of nuisance species – i.e., indigenous or non-indigenous species that, as a result of human influence, have much greater abundance in an ecosystem than they did historically, resulting in undesirable ecological consequences</w:t>
      </w:r>
      <w:r>
        <w:t xml:space="preserve"> </w:t>
      </w:r>
      <w:r>
        <w:t xml:space="preserve">(Nuñez</w:t>
      </w:r>
      <w:r>
        <w:t xml:space="preserve"> </w:t>
      </w:r>
      <w:r>
        <w:rPr>
          <w:iCs/>
          <w:i/>
        </w:rPr>
        <w:t xml:space="preserve">et al.</w:t>
      </w:r>
      <w:r>
        <w:t xml:space="preserve">, 2010; Skandrani</w:t>
      </w:r>
      <w:r>
        <w:t xml:space="preserve"> </w:t>
      </w:r>
      <w:r>
        <w:rPr>
          <w:iCs/>
          <w:i/>
        </w:rPr>
        <w:t xml:space="preserve">et al.</w:t>
      </w:r>
      <w:r>
        <w:t xml:space="preserve">, 2014)</w:t>
      </w:r>
      <w:r>
        <w:t xml:space="preserve">.</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non-indigenous plants,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successional trajectories, and geomorphic processes.</w:t>
      </w:r>
      <w:r>
        <w:t xml:space="preserve"> </w:t>
      </w:r>
      <w:r>
        <w:t xml:space="preserve">(Herms &amp; McCullough, 2014; Lovett</w:t>
      </w:r>
      <w:r>
        <w:t xml:space="preserve"> </w:t>
      </w:r>
      <w:r>
        <w:rPr>
          <w:iCs/>
          <w:i/>
        </w:rPr>
        <w:t xml:space="preserve">et al.</w:t>
      </w:r>
      <w:r>
        <w:t xml:space="preserve">, 2016)</w:t>
      </w:r>
      <w:r>
        <w:t xml:space="preserve">. Historically introduced to new ecosystems through intercontinental trade, non-indigenous forest insects and diseases will continue to proliferate with increased globalization and human movement</w:t>
      </w:r>
      <w:r>
        <w:t xml:space="preserve"> </w:t>
      </w:r>
      <w:r>
        <w:t xml:space="preserve">(Brockerhoff</w:t>
      </w:r>
      <w:r>
        <w:t xml:space="preserve"> </w:t>
      </w:r>
      <w:r>
        <w:rPr>
          <w:iCs/>
          <w:i/>
        </w:rPr>
        <w:t xml:space="preserve">et al.</w:t>
      </w:r>
      <w:r>
        <w:t xml:space="preserve">, 2006; Aukema</w:t>
      </w:r>
      <w:r>
        <w:t xml:space="preserve"> </w:t>
      </w:r>
      <w:r>
        <w:rPr>
          <w:iCs/>
          <w:i/>
        </w:rPr>
        <w:t xml:space="preserve">et al.</w:t>
      </w:r>
      <w:r>
        <w:t xml:space="preserve">, 2010; Fischer</w:t>
      </w:r>
      <w:r>
        <w:t xml:space="preserve"> </w:t>
      </w:r>
      <w:r>
        <w:rPr>
          <w:iCs/>
          <w:i/>
        </w:rPr>
        <w:t xml:space="preserve">et al.</w:t>
      </w:r>
      <w:r>
        <w:t xml:space="preserve">, 2013)</w:t>
      </w:r>
      <w:r>
        <w:t xml:space="preserve">. Many of the prominent pests and pathogens in temperate deciduous forests have dramatic effects on canopy composition and structure, decimating once-abundant canopy species</w:t>
      </w:r>
      <w:r>
        <w:t xml:space="preserve"> </w:t>
      </w:r>
      <w:r>
        <w:t xml:space="preserve">(Aukema</w:t>
      </w:r>
      <w:r>
        <w:t xml:space="preserve"> </w:t>
      </w:r>
      <w:r>
        <w:rPr>
          <w:iCs/>
          <w:i/>
        </w:rPr>
        <w:t xml:space="preserve">et al.</w:t>
      </w:r>
      <w:r>
        <w:t xml:space="preserve">, 2010; Klooster</w:t>
      </w:r>
      <w:r>
        <w:t xml:space="preserve"> </w:t>
      </w:r>
      <w:r>
        <w:rPr>
          <w:iCs/>
          <w:i/>
        </w:rPr>
        <w:t xml:space="preserve">et al.</w:t>
      </w:r>
      <w:r>
        <w:t xml:space="preserve">, 2014; Ellison</w:t>
      </w:r>
      <w:r>
        <w:t xml:space="preserve"> </w:t>
      </w:r>
      <w:r>
        <w:rPr>
          <w:iCs/>
          <w:i/>
        </w:rPr>
        <w:t xml:space="preserve">et al.</w:t>
      </w:r>
      <w:r>
        <w:t xml:space="preserve">, 2018; Anderson-Teixeira</w:t>
      </w:r>
      <w:r>
        <w:t xml:space="preserve"> </w:t>
      </w:r>
      <w:r>
        <w:rPr>
          <w:iCs/>
          <w:i/>
        </w:rPr>
        <w:t xml:space="preserve">et al.</w:t>
      </w:r>
      <w:r>
        <w:t xml:space="preserve">, 2021)</w:t>
      </w:r>
      <w:r>
        <w:t xml:space="preserve">. Since many pests and pathogens do not currently occupy the full extent of their host species range, a significant portion of the remaining forest canopy is susceptible to future invasion from nuisance species</w:t>
      </w:r>
      <w:r>
        <w:t xml:space="preserve"> </w:t>
      </w:r>
      <w:r>
        <w:t xml:space="preserve">(Fei</w:t>
      </w:r>
      <w:r>
        <w:t xml:space="preserve"> </w:t>
      </w:r>
      <w:r>
        <w:rPr>
          <w:iCs/>
          <w:i/>
        </w:rPr>
        <w:t xml:space="preserve">et al.</w:t>
      </w:r>
      <w:r>
        <w:t xml:space="preserve">, 2019)</w:t>
      </w:r>
      <w:r>
        <w:t xml:space="preserve">, further increasing potentials for biomass loss and altered carbon cycle dynamics.</w:t>
      </w:r>
    </w:p>
    <w:p>
      <w:pPr>
        <w:pStyle w:val="BodyText"/>
      </w:pPr>
      <w:r>
        <w:t xml:space="preserve">Another category of nuisance species is mammals whose population densities have been inflated due to human activities</w:t>
      </w:r>
      <w:r>
        <w:t xml:space="preserve"> </w:t>
      </w:r>
      <w:r>
        <w:t xml:space="preserve">(Clout &amp; Russell, 2008; Murphy</w:t>
      </w:r>
      <w:r>
        <w:t xml:space="preserve"> </w:t>
      </w:r>
      <w:r>
        <w:rPr>
          <w:iCs/>
          <w:i/>
        </w:rPr>
        <w:t xml:space="preserve">et al.</w:t>
      </w:r>
      <w:r>
        <w:t xml:space="preserve">, 2014)</w:t>
      </w:r>
      <w:r>
        <w:t xml:space="preserve">, including white-tailed deer (</w:t>
      </w:r>
      <w:r>
        <w:rPr>
          <w:iCs/>
          <w:i/>
        </w:rPr>
        <w:t xml:space="preserve">Odocoileus virginianus</w:t>
      </w:r>
      <w:r>
        <w:t xml:space="preserve">) in U.S. eastern deciduous forests. Their populations have dramatically increased in the past 50 years</w:t>
      </w:r>
      <w:r>
        <w:t xml:space="preserve"> </w:t>
      </w:r>
      <w:r>
        <w:t xml:space="preserve">(McShea</w:t>
      </w:r>
      <w:r>
        <w:t xml:space="preserve"> </w:t>
      </w:r>
      <w:r>
        <w:rPr>
          <w:iCs/>
          <w:i/>
        </w:rPr>
        <w:t xml:space="preserve">et al.</w:t>
      </w:r>
      <w:r>
        <w:t xml:space="preserve">, 2003)</w:t>
      </w:r>
      <w:r>
        <w:t xml:space="preserve">, due in large part to global change [cote_ecological_2004;</w:t>
      </w:r>
      <w:r>
        <w:t xml:space="preserve"> </w:t>
      </w:r>
      <w:r>
        <w:t xml:space="preserve">Rooney (2001)</w:t>
      </w:r>
      <w:r>
        <w:t xml:space="preserve">;</w:t>
      </w:r>
      <w:r>
        <w:t xml:space="preserve"> </w:t>
      </w:r>
      <w:r>
        <w:t xml:space="preserve">Brown</w:t>
      </w:r>
      <w:r>
        <w:t xml:space="preserve"> </w:t>
      </w:r>
      <w:r>
        <w:rPr>
          <w:iCs/>
          <w:i/>
        </w:rPr>
        <w:t xml:space="preserve">et al.</w:t>
      </w:r>
      <w:r>
        <w:t xml:space="preserve"> </w:t>
      </w:r>
      <w:r>
        <w:t xml:space="preserve">(2000)</w:t>
      </w:r>
      <w:r>
        <w:t xml:space="preserve">]. White-tailed deer preferentially browse on woody plant species in the seedling and sapling life stages, which reduces survival, growth and density</w:t>
      </w:r>
      <w:r>
        <w:t xml:space="preserve"> </w:t>
      </w:r>
      <w:r>
        <w:t xml:space="preserve">(McGarvey</w:t>
      </w:r>
      <w:r>
        <w:t xml:space="preserve"> </w:t>
      </w:r>
      <w:r>
        <w:rPr>
          <w:iCs/>
          <w:i/>
        </w:rPr>
        <w:t xml:space="preserve">et al.</w:t>
      </w:r>
      <w:r>
        <w:t xml:space="preserve">, 2013)</w:t>
      </w:r>
      <w:r>
        <w:t xml:space="preserve">. Chronic white-tailed deer overabundance can reduce understory plant diversity and decrease the abundance of traditionally dominant species</w:t>
      </w:r>
      <w:r>
        <w:t xml:space="preserve"> </w:t>
      </w:r>
      <w:r>
        <w:t xml:space="preserve">(Bugalho</w:t>
      </w:r>
      <w:r>
        <w:t xml:space="preserve"> </w:t>
      </w:r>
      <w:r>
        <w:rPr>
          <w:iCs/>
          <w:i/>
        </w:rPr>
        <w:t xml:space="preserve">et al.</w:t>
      </w:r>
      <w:r>
        <w:t xml:space="preserve">, 2013)</w:t>
      </w:r>
      <w:r>
        <w:t xml:space="preserve"> </w:t>
      </w:r>
      <w:r>
        <w:t xml:space="preserve">while giving an advantage to species they find less palatable, including both indigenous (e.g., pawpaw,</w:t>
      </w:r>
      <w:r>
        <w:t xml:space="preserve"> </w:t>
      </w:r>
      <w:r>
        <w:rPr>
          <w:iCs/>
          <w:i/>
        </w:rPr>
        <w:t xml:space="preserve">Asimina tribola</w:t>
      </w:r>
      <w:r>
        <w:t xml:space="preserve">; spicebush,</w:t>
      </w:r>
      <w:r>
        <w:t xml:space="preserve"> </w:t>
      </w:r>
      <w:r>
        <w:rPr>
          <w:iCs/>
          <w:i/>
        </w:rPr>
        <w:t xml:space="preserve">Lindera benzoin</w:t>
      </w:r>
      <w:r>
        <w:t xml:space="preserve">) and non-indigenous (e.g., XX ) species (REFS). The strong impact of deer browsing, exacerbated by competition with dense deer-resistant understory vegetation and possibly climate change results in dramatic reduction of canopy tree species in the understory</w:t>
      </w:r>
      <w:r>
        <w:t xml:space="preserve"> </w:t>
      </w:r>
      <w:r>
        <w:t xml:space="preserve">(McGarvey</w:t>
      </w:r>
      <w:r>
        <w:t xml:space="preserve"> </w:t>
      </w:r>
      <w:r>
        <w:rPr>
          <w:iCs/>
          <w:i/>
        </w:rPr>
        <w:t xml:space="preserve">et al.</w:t>
      </w:r>
      <w:r>
        <w:t xml:space="preserve">, 2013; 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p>
    <w:p>
      <w:pPr>
        <w:pStyle w:val="BodyText"/>
      </w:pPr>
      <w:r>
        <w:t xml:space="preserve">In combination, increased canopy tree mortality and reduced canopy species recruitment in the understory is likely to have profound impacts on deciduous forests of eastern North America. When global change pressures (e.g., climate change, nuisance species) inhibit recruitment of canopy species, the stage is set for disturbances to push forest ecosystems over a tipping point, whereby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 Turner &amp; Seidl, 2023)</w:t>
      </w:r>
      <w:r>
        <w:t xml:space="preserve">. In the mid-Atlantic region of the eastern United States, forests face a severe</w:t>
      </w:r>
      <w:r>
        <w:t xml:space="preserve"> </w:t>
      </w:r>
      <w:r>
        <w:t xml:space="preserve">“</w:t>
      </w:r>
      <w:r>
        <w:t xml:space="preserve">regeneration debt</w:t>
      </w:r>
      <w:r>
        <w:t xml:space="preserve">”</w:t>
      </w:r>
      <w:r>
        <w:t xml:space="preserve">, meaning that there are insufficient juveniles of canopy tree species to replace the mature cohort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 Acer spp., Fagus grandifolia) than historically dominated much of the region (e.g., Quercus spp., Carya spp.,</w:t>
      </w:r>
      <w:r>
        <w:t xml:space="preserve">(Nowacki &amp; Abrams, 2015; Miller &amp; McGill, 2019)</w:t>
      </w:r>
      <w:r>
        <w:t xml:space="preserve">), but even these are often not present in sufficient abundance to replace the current canopy (??).</w:t>
      </w:r>
    </w:p>
    <w:p>
      <w:pPr>
        <w:pStyle w:val="BodyText"/>
      </w:pPr>
      <w:r>
        <w:t xml:space="preserve">Understanding the combined effects of multiple nuisance species on forest ecosystem processes requires data on both the forest canopy and understory over an extended time. Here, we use 15 years of detailed census from a large forest dynamics plot the mid-Atlantic region of the eastern United States to understand the effects of non-indigenous pests and pathogens and white-tailed deer on the forest carbon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(SCBI)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 [SI archives,</w:t>
      </w:r>
      <w:r>
        <w:t xml:space="preserve"> </w:t>
      </w:r>
      <w:r>
        <w:t xml:space="preserve">Bourg</w:t>
      </w:r>
      <w:r>
        <w:t xml:space="preserve"> </w:t>
      </w:r>
      <w:r>
        <w:rPr>
          <w:iCs/>
          <w:i/>
        </w:rPr>
        <w:t xml:space="preserve">et al.</w:t>
      </w:r>
      <w:r>
        <w:t xml:space="preserve"> </w:t>
      </w:r>
      <w:r>
        <w:t xml:space="preserve">(2013)</w:t>
      </w:r>
      <w:r>
        <w:t xml:space="preserve">.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(Anderson-Teixeira</w:t>
      </w:r>
      <w:r>
        <w:t xml:space="preserve"> </w:t>
      </w:r>
      <w:r>
        <w:rPr>
          <w:iCs/>
          <w:i/>
        </w:rPr>
        <w:t xml:space="preserve">et al.</w:t>
      </w:r>
      <w:r>
        <w:t xml:space="preserve">, 2015; Davies</w:t>
      </w:r>
      <w:r>
        <w:t xml:space="preserve"> </w:t>
      </w:r>
      <w:r>
        <w:rPr>
          <w:iCs/>
          <w:i/>
        </w:rPr>
        <w:t xml:space="preserve">et al.</w:t>
      </w:r>
      <w:r>
        <w:t xml:space="preserve">, 2021)</w:t>
      </w:r>
      <w:r>
        <w:t xml:space="preserve">.</w:t>
      </w:r>
    </w:p>
    <w:p>
      <w:pPr>
        <w:pStyle w:val="BodyText"/>
      </w:pPr>
      <w:r>
        <w:t xml:space="preserve">In addition to our consideration of the entire forest plot, we focus further on three portions of the plot, all upland forest (i.e., excluding low-lying areas around streams), with varying levels of exposure non-indigenous insects and pathogens and white-tailed deer (Fig. 1). The first portion we define as“Low deer, low canopy vulnerability”: A 4-ha portion of upland forest in the SE quarter of the plot (Fig. 1a), fenced in 1990 and maintained with only occasional deer presence over the past 24 years. This portion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focal area is a</w:t>
      </w:r>
      <w:r>
        <w:t xml:space="preserve"> </w:t>
      </w:r>
      <w:r>
        <w:t xml:space="preserve">“</w:t>
      </w:r>
      <w:r>
        <w:t xml:space="preserve">high deer, low canopy vulnerability</w:t>
      </w:r>
      <w:r>
        <w:t xml:space="preserve">”</w:t>
      </w:r>
      <w:r>
        <w:t xml:space="preserve"> </w:t>
      </w:r>
      <w:r>
        <w:t xml:space="preserve">16.3 ha upland forest area outside the deer exclosure with low abundance of canopy species affected by non-indigenous pests and pathogens (Fig. 1b). The third focal portion of the plot has high deer, high canopy vulnerability: corresponding to 2.2 ha of upland forest outside the deer exclosure with high abundance of canopy species affected by non-indigenous pests and pathogens. We defined upland forest according to topographic wetness index, which was calculated for the forest plot by mcgregor_tree_2021. We defined vulnerability to non-indigenous insects and pathogens based on the abundance of canopy species affected by non-indigenous pests and pathogens at the time of plot establishment (2008). The following canopy species were identified as vulnerable: ash (Fraxinus spp.), elm (Ulmus spp.), butternut (Juglans cinerea), and American chestnut (Carya dentata)</w:t>
      </w:r>
      <w:r>
        <w:t xml:space="preserve"> </w:t>
      </w:r>
      <w:r>
        <w:t xml:space="preserve">(Anderson-Teixeira</w:t>
      </w:r>
      <w:r>
        <w:t xml:space="preserve"> </w:t>
      </w:r>
      <w:r>
        <w:rPr>
          <w:iCs/>
          <w:i/>
        </w:rPr>
        <w:t xml:space="preserve">et al.</w:t>
      </w:r>
      <w:r>
        <w:t xml:space="preserve">, 2021)</w:t>
      </w:r>
      <w:r>
        <w:t xml:space="preserve">.</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according to the protocol detailed in</w:t>
      </w:r>
      <w:r>
        <w:t xml:space="preserve"> </w:t>
      </w:r>
      <w:r>
        <w:t xml:space="preserve">Condit (1998)</w:t>
      </w:r>
      <w:r>
        <w:t xml:space="preserve">.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(2013, 2018, 2023) since, comprising 15 years of forest dynamics data. In the last census, data cleaning was continuously implemented 1) in an ESRI ArcGIS Field Maps application via built-in checks and 2) on a daily basis, via error reports generated through GitHub actions</w:t>
      </w:r>
      <w:r>
        <w:t xml:space="preserve"> </w:t>
      </w:r>
      <w:r>
        <w:t xml:space="preserve">(Kim</w:t>
      </w:r>
      <w:r>
        <w:t xml:space="preserve"> </w:t>
      </w:r>
      <w:r>
        <w:rPr>
          <w:iCs/>
          <w:i/>
        </w:rPr>
        <w:t xml:space="preserve">et al.</w:t>
      </w:r>
      <w:r>
        <w:t xml:space="preserve">, 2022)</w:t>
      </w:r>
      <w:r>
        <w:t xml:space="preserve">. Each individual’s location was recorded in the Field Maps application using a digitized map of the plot (citation). In addition to the ForestGEO census, a tree health and mortality survey was conducted annually starting in 2014 on all trees with a dbh ≥ 10 cm in the previous census</w:t>
      </w:r>
      <w:r>
        <w:t xml:space="preserve"> </w:t>
      </w:r>
      <w:r>
        <w:t xml:space="preserve">(Gonzalez-Akre</w:t>
      </w:r>
      <w:r>
        <w:t xml:space="preserve"> </w:t>
      </w:r>
      <w:r>
        <w:rPr>
          <w:iCs/>
          <w:i/>
        </w:rPr>
        <w:t xml:space="preserve">et al.</w:t>
      </w:r>
      <w:r>
        <w:t xml:space="preserve">, 2016)</w:t>
      </w:r>
      <w:r>
        <w:t xml:space="preserve">. Data were collected on the current status, canopy position, percentage of crown living and intact, and visible indicators of tree health, such as physical damage, potential pathogens and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w:t>
      </w:r>
      <w:r>
        <w:t xml:space="preserve"> </w:t>
      </w:r>
      <w:r>
        <w:rPr>
          <w:iCs/>
          <w:i/>
        </w:rPr>
        <w:t xml:space="preserve">et al.</w:t>
      </w:r>
      <w:r>
        <w:t xml:space="preserve">, 2022)</w:t>
      </w:r>
      <w:r>
        <w:t xml:space="preserve">.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study regions and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 (excluding stems &lt; 10 cm dbh).</w:t>
      </w:r>
    </w:p>
    <w:p>
      <w:pPr>
        <w:pStyle w:val="BodyText"/>
      </w:pPr>
      <w:r>
        <w:t xml:space="preserve">In addition to the estimation of AWR biomass flux, we analyzed the effects of nuisance species on recruitment through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∆AGB of canopy trees within each 0.4 hectare quadrat between 2008 and 2023 and the AGB of canopy species in the understory in 2023.</w:t>
      </w:r>
    </w:p>
    <w:bookmarkEnd w:id="29"/>
    <w:bookmarkEnd w:id="30"/>
    <w:bookmarkStart w:id="49" w:name="results"/>
    <w:p>
      <w:pPr>
        <w:pStyle w:val="Heading1"/>
      </w:pPr>
      <w:r>
        <w:rPr>
          <w:rStyle w:val="SectionNumber"/>
        </w:rPr>
        <w:t xml:space="preserve">3</w:t>
      </w:r>
      <w:r>
        <w:tab/>
      </w:r>
      <w:r>
        <w:t xml:space="preserve">Results</w:t>
      </w:r>
    </w:p>
    <w:p>
      <w:pPr>
        <w:pStyle w:val="FirstParagraph"/>
      </w:pPr>
      <w:r>
        <w:t xml:space="preserve">For the first time since the establishment of the SCBI ForestGEO plot, living aboveground C stocks decreased over the 2018-2023 census interval (Figure 2), with AGB declining from 145.9 to 140.9 Mg C ha</w:t>
      </w:r>
      <w:r>
        <w:rPr>
          <w:vertAlign w:val="superscript"/>
        </w:rPr>
        <w:t xml:space="preserve">-1</w:t>
      </w:r>
      <w:r>
        <w:t xml:space="preserve">. Prior to this period, AGB had consistently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3a). In regions characterized by high deer density and high canopy vulnerability, AGB decreased significantly over the past two censuses: dropping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then to 77 Mg C ha</w:t>
      </w:r>
      <w:r>
        <w:rPr>
          <w:vertAlign w:val="superscript"/>
        </w:rPr>
        <w:t xml:space="preserve">-1</w:t>
      </w:r>
      <w:r>
        <w:t xml:space="preserve"> </w:t>
      </w:r>
      <w:r>
        <w:t xml:space="preserve">in 2023. Conversely, areas with low density of vulnerable canopy species experienced marginal losses of AGB between 2018 and 2023; both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2. Aboveground biomass at the SCBI ForestGEO plot since 2008 establishment. Values are shown for the plot as a whole and for regions differentiated by intensity of deer browsing and 2008 abundance of canopy tree species vulnerable to non-indigenous pests and pathogens." title="" id="32" name="Picture"/>
            <a:graphic>
              <a:graphicData uri="http://schemas.openxmlformats.org/drawingml/2006/picture">
                <pic:pic>
                  <pic:nvPicPr>
                    <pic:cNvPr descr="display/Figure2.jpeg" id="33" name="Picture"/>
                    <pic:cNvPicPr>
                      <a:picLocks noChangeArrowheads="1" noChangeAspect="1"/>
                    </pic:cNvPicPr>
                  </pic:nvPicPr>
                  <pic:blipFill>
                    <a:blip r:embed="rId31"/>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2. Aboveground biomass at the SCBI ForestGEO plot since 2008 establishment.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The transition from net AGB accumulation to loss is primarily attributable to increased AWM across all plot regions (Figure 3b). Initially, AWM flux remained constant, maintaining rates of 1.5 and 1.4 Mg C ha</w:t>
      </w:r>
      <w:r>
        <w:rPr>
          <w:vertAlign w:val="superscript"/>
        </w:rPr>
        <w:t xml:space="preserve">-1</w:t>
      </w:r>
      <w:r>
        <w:t xml:space="preserve"> </w:t>
      </w:r>
      <w:r>
        <w:t xml:space="preserve">yr</w:t>
      </w:r>
      <w:r>
        <w:rPr>
          <w:vertAlign w:val="superscript"/>
        </w:rPr>
        <w:t xml:space="preserve">-1</w:t>
      </w:r>
      <w:r>
        <w:t xml:space="preserve"> </w:t>
      </w:r>
      <w:r>
        <w:t xml:space="preserve">in the first census intervals. However, in the most recent period, AWM increased significantly to 3 Mg C ha</w:t>
      </w:r>
      <w:r>
        <w:rPr>
          <w:vertAlign w:val="superscript"/>
        </w:rPr>
        <w:t xml:space="preserve">-1</w:t>
      </w:r>
      <w:r>
        <w:t xml:space="preserve"> </w:t>
      </w:r>
      <w:r>
        <w:t xml:space="preserve">yr</w:t>
      </w:r>
      <w:r>
        <w:rPr>
          <w:vertAlign w:val="superscript"/>
        </w:rPr>
        <w:t xml:space="preserve">-1</w:t>
      </w:r>
      <w:r>
        <w:t xml:space="preserve">. Despite initial uniformity in AWM across all plot regions, high canopy vulnerability areas experienced substantial increases in AWM across all censuses, resulting in a three-fold increase in AWM from the first interval. Low canopy vulnerability regions displayed smaller rises in AWM and only in the final survey period. Simultaneously, the rate of biomass accrual from woody growth decreased across the plot (Figure 3c), declining from 2.6 Mg C ha</w:t>
      </w:r>
      <w:r>
        <w:rPr>
          <w:vertAlign w:val="superscript"/>
        </w:rPr>
        <w:t xml:space="preserve">-1</w:t>
      </w:r>
      <w:r>
        <w:t xml:space="preserve"> </w:t>
      </w:r>
      <w:r>
        <w:t xml:space="preserve">yr</w:t>
      </w:r>
      <w:r>
        <w:rPr>
          <w:vertAlign w:val="superscript"/>
        </w:rPr>
        <w:t xml:space="preserve">-1</w:t>
      </w:r>
      <w:r>
        <w:t xml:space="preserve"> </w:t>
      </w:r>
      <w:r>
        <w:t xml:space="preserve">over the 2008-2013 period to 1.9 Mg C ha</w:t>
      </w:r>
      <w:r>
        <w:rPr>
          <w:vertAlign w:val="superscript"/>
        </w:rPr>
        <w:t xml:space="preserve">-1</w:t>
      </w:r>
      <w:r>
        <w:t xml:space="preserve"> </w:t>
      </w:r>
      <w:r>
        <w:t xml:space="preserve">yr</w:t>
      </w:r>
      <w:r>
        <w:rPr>
          <w:vertAlign w:val="superscript"/>
        </w:rPr>
        <w:t xml:space="preserve">-1</w:t>
      </w:r>
      <w:r>
        <w:t xml:space="preserve"> </w:t>
      </w:r>
      <w:r>
        <w:t xml:space="preserve">in the 2018-2023 interval. Areas with low canopy vulnerability consistently displayed the highest AWG (2.1 Mg C ha</w:t>
      </w:r>
      <w:r>
        <w:rPr>
          <w:vertAlign w:val="superscript"/>
        </w:rPr>
        <w:t xml:space="preserve">-1</w:t>
      </w:r>
      <w:r>
        <w:t xml:space="preserve"> </w:t>
      </w:r>
      <w:r>
        <w:t xml:space="preserve">yr</w:t>
      </w:r>
      <w:r>
        <w:rPr>
          <w:vertAlign w:val="superscript"/>
        </w:rPr>
        <w:t xml:space="preserve">-1</w:t>
      </w:r>
      <w:r>
        <w:t xml:space="preserve"> </w:t>
      </w:r>
      <w:r>
        <w:t xml:space="preserve">in the 2018-2023 period), while the AWG in the region with high canopy vulnerability was significantly lower (1.5Mg C ha</w:t>
      </w:r>
      <w:r>
        <w:rPr>
          <w:vertAlign w:val="superscript"/>
        </w:rPr>
        <w:t xml:space="preserve">-1</w:t>
      </w:r>
      <w:r>
        <w:t xml:space="preserve"> </w:t>
      </w:r>
      <w:r>
        <w:t xml:space="preserve">yr</w:t>
      </w:r>
      <w:r>
        <w:rPr>
          <w:vertAlign w:val="superscript"/>
        </w:rPr>
        <w:t xml:space="preserve">-1</w:t>
      </w:r>
      <w:r>
        <w:t xml:space="preserve">). Furthermore, AWG declined across all census intervals, even when AWM remained stable. Recruitment, constituting a minor fraction of net biomass change, showed no significant temporal trend (Figure 3d). AWR consistently remained lowest in areas characterized by high deer density and low canopy vulnerability, whereas it reached its highest levels in regions with high canopy vulnerability, recording rates of 0.01 Mg C ha</w:t>
      </w:r>
      <w:r>
        <w:rPr>
          <w:vertAlign w:val="superscript"/>
        </w:rPr>
        <w:t xml:space="preserve">-1</w:t>
      </w:r>
      <w:r>
        <w:t xml:space="preserve"> </w:t>
      </w:r>
      <w:r>
        <w:t xml:space="preserve">yr</w:t>
      </w:r>
      <w:r>
        <w:rPr>
          <w:vertAlign w:val="superscript"/>
        </w:rPr>
        <w:t xml:space="preserve">-1</w:t>
      </w:r>
      <w:r>
        <w:t xml:space="preserve"> </w:t>
      </w:r>
      <w:r>
        <w:t xml:space="preserve">and 0.025 Mg C ha</w:t>
      </w:r>
      <w:r>
        <w:rPr>
          <w:vertAlign w:val="superscript"/>
        </w:rPr>
        <w:t xml:space="preserve">-1</w:t>
      </w:r>
      <w:r>
        <w:t xml:space="preserve"> </w:t>
      </w:r>
      <w:r>
        <w:t xml:space="preserve">yr</w:t>
      </w:r>
      <w:r>
        <w:rPr>
          <w:vertAlign w:val="superscript"/>
        </w:rPr>
        <w:t xml:space="preserve">-1</w:t>
      </w:r>
      <w:r>
        <w:t xml:space="preserve">, respectively.</w:t>
      </w:r>
    </w:p>
    <w:p>
      <w:pPr>
        <w:pStyle w:val="CaptionedFigure"/>
      </w:pPr>
      <w:r>
        <w:drawing>
          <wp:inline>
            <wp:extent cx="5943600" cy="4754880"/>
            <wp:effectExtent b="0" l="0" r="0" t="0"/>
            <wp:docPr descr="Figure 3. Changes in aboveground woody biomass at the SCBI ForestGEO plot over each census interval since 2008 establishment, including (a) net change, (b) losses to mortality, and gains from (c) woody productivity and (d) recruitment. Values are shown for the plot as a whole and for regions differentiated by intensity of deer browsing and 2008 abundance of canopy tree species vulnerable to non-indigenous pests and pathogens." title="" id="35" name="Picture"/>
            <a:graphic>
              <a:graphicData uri="http://schemas.openxmlformats.org/drawingml/2006/picture">
                <pic:pic>
                  <pic:nvPicPr>
                    <pic:cNvPr descr="display/Figure3.jpeg" id="36"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iCs/>
          <w:i/>
          <w:bCs/>
          <w:b/>
        </w:rPr>
        <w:t xml:space="preserve">Figure 3.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regions differentiated by intensity of deer browsing and 2008 abundance of canopy tree species vulnerable to non-indigenous pests and pathogens.</w:t>
      </w:r>
    </w:p>
    <w:bookmarkStart w:id="40" w:name="species-composition-of-mortality-flux"/>
    <w:p>
      <w:pPr>
        <w:pStyle w:val="Heading2"/>
      </w:pPr>
      <w:r>
        <w:rPr>
          <w:rStyle w:val="SectionNumber"/>
        </w:rPr>
        <w:t xml:space="preserve">3.1</w:t>
      </w:r>
      <w:r>
        <w:tab/>
      </w:r>
      <w:r>
        <w:t xml:space="preserve">Species composition of mortality flux</w:t>
      </w:r>
    </w:p>
    <w:p>
      <w:pPr>
        <w:pStyle w:val="FirstParagraph"/>
      </w:pPr>
      <w:r>
        <w:t xml:space="preserve">Over the 15-year study period, AWM increased throughout the plot yet AWM rates remained stable in a majority of individual species. The increasing trend of AWM was driven primarily by two species:</w:t>
      </w:r>
      <w:r>
        <w:t xml:space="preserve"> </w:t>
      </w:r>
      <w:r>
        <w:rPr>
          <w:iCs/>
          <w:i/>
        </w:rPr>
        <w:t xml:space="preserve">Fraxinus americana</w:t>
      </w:r>
      <w:r>
        <w:t xml:space="preserve"> </w:t>
      </w:r>
      <w:r>
        <w:t xml:space="preserve">and</w:t>
      </w:r>
      <w:r>
        <w:t xml:space="preserve"> </w:t>
      </w:r>
      <w:r>
        <w:rPr>
          <w:iCs/>
          <w:i/>
        </w:rPr>
        <w:t xml:space="preserve">Quercus velutina</w:t>
      </w:r>
      <w:r>
        <w:t xml:space="preserve"> </w:t>
      </w:r>
      <w:r>
        <w:t xml:space="preserve">(Figure 4).</w:t>
      </w:r>
      <w:r>
        <w:t xml:space="preserve"> </w:t>
      </w:r>
      <w:r>
        <w:rPr>
          <w:iCs/>
          <w:i/>
        </w:rPr>
        <w:t xml:space="preserve">Fraxinus americana</w:t>
      </w:r>
      <w:r>
        <w:t xml:space="preserve"> </w:t>
      </w:r>
      <w:r>
        <w:t xml:space="preserve">had the highest annual AWM of any species present on the plot, with an average flux of 1.6 Mg C ha</w:t>
      </w:r>
      <w:r>
        <w:rPr>
          <w:vertAlign w:val="superscript"/>
        </w:rPr>
        <w:t xml:space="preserve">-1</w:t>
      </w:r>
      <w:r>
        <w:t xml:space="preserve"> </w:t>
      </w:r>
      <w:r>
        <w:t xml:space="preserve">yr</w:t>
      </w:r>
      <w:r>
        <w:rPr>
          <w:vertAlign w:val="superscript"/>
        </w:rPr>
        <w:t xml:space="preserve">-1</w:t>
      </w:r>
      <w:r>
        <w:t xml:space="preserve"> </w:t>
      </w:r>
      <w:r>
        <w:t xml:space="preserve">and peaking at 5.3 Mg C ha</w:t>
      </w:r>
      <w:r>
        <w:rPr>
          <w:vertAlign w:val="superscript"/>
        </w:rPr>
        <w:t xml:space="preserve">-1</w:t>
      </w:r>
      <w:r>
        <w:t xml:space="preserve"> </w:t>
      </w:r>
      <w:r>
        <w:t xml:space="preserve">yr</w:t>
      </w:r>
      <w:r>
        <w:rPr>
          <w:vertAlign w:val="superscript"/>
        </w:rPr>
        <w:t xml:space="preserve">-1</w:t>
      </w:r>
      <w:r>
        <w:t xml:space="preserve"> </w:t>
      </w:r>
      <w:r>
        <w:t xml:space="preserve">in 2020.</w:t>
      </w:r>
      <w:r>
        <w:t xml:space="preserve"> </w:t>
      </w:r>
      <w:r>
        <w:rPr>
          <w:iCs/>
          <w:i/>
        </w:rPr>
        <w:t xml:space="preserve">Quercus velutina</w:t>
      </w:r>
      <w:r>
        <w:t xml:space="preserve"> </w:t>
      </w:r>
      <w:r>
        <w:t xml:space="preserve">experienced the second-highest rate of AWM at a rate of 1.0 Mg C ha</w:t>
      </w:r>
      <w:r>
        <w:rPr>
          <w:vertAlign w:val="superscript"/>
        </w:rPr>
        <w:t xml:space="preserve">-1</w:t>
      </w:r>
      <w:r>
        <w:t xml:space="preserve"> </w:t>
      </w:r>
      <w:r>
        <w:t xml:space="preserve">yr</w:t>
      </w:r>
      <w:r>
        <w:rPr>
          <w:vertAlign w:val="superscript"/>
        </w:rPr>
        <w:t xml:space="preserve">-1</w:t>
      </w:r>
      <w:r>
        <w:t xml:space="preserve">. The average annual AWM of these two species (2.5 Mg C ha</w:t>
      </w:r>
      <w:r>
        <w:rPr>
          <w:vertAlign w:val="superscript"/>
        </w:rPr>
        <w:t xml:space="preserve">-1</w:t>
      </w:r>
      <w:r>
        <w:t xml:space="preserve"> </w:t>
      </w:r>
      <w:r>
        <w:t xml:space="preserve">yr</w:t>
      </w:r>
      <w:r>
        <w:rPr>
          <w:vertAlign w:val="superscript"/>
        </w:rPr>
        <w:t xml:space="preserve">-1</w:t>
      </w:r>
      <w:r>
        <w:t xml:space="preserve">), was higher than that of all other species combined (1.8 Mg C ha</w:t>
      </w:r>
      <w:r>
        <w:rPr>
          <w:vertAlign w:val="superscript"/>
        </w:rPr>
        <w:t xml:space="preserve">-1</w:t>
      </w:r>
      <w:r>
        <w:t xml:space="preserve"> </w:t>
      </w:r>
      <w:r>
        <w:t xml:space="preserve">yr</w:t>
      </w:r>
      <w:r>
        <w:rPr>
          <w:vertAlign w:val="superscript"/>
        </w:rPr>
        <w:t xml:space="preserve">-1</w:t>
      </w:r>
      <w:r>
        <w:t xml:space="preserve">). Moreover, both species exhitibed significant increases in AWM since the start of the census, a trend also observed in three other species in the Oak genera—</w:t>
      </w:r>
      <w:r>
        <w:rPr>
          <w:iCs/>
          <w:i/>
        </w:rPr>
        <w:t xml:space="preserve">Quercus rubra</w:t>
      </w:r>
      <w:r>
        <w:t xml:space="preserve">,</w:t>
      </w:r>
      <w:r>
        <w:t xml:space="preserve"> </w:t>
      </w:r>
      <w:r>
        <w:rPr>
          <w:iCs/>
          <w:i/>
        </w:rPr>
        <w:t xml:space="preserve">Quercus prinus</w:t>
      </w:r>
      <w:r>
        <w:t xml:space="preserve"> </w:t>
      </w:r>
      <w:r>
        <w:t xml:space="preserve">and</w:t>
      </w:r>
      <w:r>
        <w:t xml:space="preserve"> </w:t>
      </w:r>
      <w:r>
        <w:rPr>
          <w:iCs/>
          <w:i/>
        </w:rPr>
        <w:t xml:space="preserve">Quercus alba</w:t>
      </w:r>
      <w:r>
        <w:t xml:space="preserve">.</w:t>
      </w:r>
    </w:p>
    <w:p>
      <w:pPr>
        <w:pStyle w:val="CaptionedFigure"/>
      </w:pPr>
      <w:r>
        <w:drawing>
          <wp:inline>
            <wp:extent cx="3810000" cy="2540000"/>
            <wp:effectExtent b="0" l="0" r="0" t="0"/>
            <wp:docPr descr="Figure 4. Annual woody mortality by species at the SCBI ForestGEO plot from 2008-2023. Shown are the six canopy taxa with highest average mortality rate in descending order and a category including all others. The census included all stems ≥ 10 cm in the most recent full census." title="" id="38" name="Picture"/>
            <a:graphic>
              <a:graphicData uri="http://schemas.openxmlformats.org/drawingml/2006/picture">
                <pic:pic>
                  <pic:nvPicPr>
                    <pic:cNvPr descr="display/Figure4.jpe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4. Annual woody mortality by species at the SCBI ForestGEO plot from 2008-2023.</w:t>
      </w:r>
      <w:r>
        <w:t xml:space="preserve"> </w:t>
      </w:r>
      <w:r>
        <w:t xml:space="preserve">Shown are the six canopy taxa with highest average mortality rate in descending order and a category including all others. The census included all stems ≥ 10 cm in the most recent full census.</w:t>
      </w:r>
    </w:p>
    <w:bookmarkEnd w:id="40"/>
    <w:bookmarkStart w:id="44" w:name="species-composition-of-recruitment"/>
    <w:p>
      <w:pPr>
        <w:pStyle w:val="Heading2"/>
      </w:pPr>
      <w:r>
        <w:rPr>
          <w:rStyle w:val="SectionNumber"/>
        </w:rPr>
        <w:t xml:space="preserve">3.2</w:t>
      </w:r>
      <w:r>
        <w:tab/>
      </w:r>
      <w:r>
        <w:t xml:space="preserve">Species composition of recruitment</w:t>
      </w:r>
    </w:p>
    <w:p>
      <w:pPr>
        <w:pStyle w:val="FirstParagraph"/>
      </w:pPr>
      <w:r>
        <w:t xml:space="preserve">We report strong mediating effects of deer density on the quantity and composition of woody stem recruitment (Figure 5). The region characterized by low deer density exhibited significantly higher annual recruitment of canopy taxa compared to those areas with higher deer density— specifically, 38.7 stems ha</w:t>
      </w:r>
      <w:r>
        <w:rPr>
          <w:vertAlign w:val="superscript"/>
        </w:rPr>
        <w:t xml:space="preserve">-1</w:t>
      </w:r>
      <w:r>
        <w:t xml:space="preserve"> </w:t>
      </w:r>
      <w:r>
        <w:t xml:space="preserve">yr</w:t>
      </w:r>
      <w:r>
        <w:rPr>
          <w:vertAlign w:val="superscript"/>
        </w:rPr>
        <w:t xml:space="preserve">-1</w:t>
      </w:r>
      <w:r>
        <w:t xml:space="preserve"> </w:t>
      </w:r>
      <w:r>
        <w:t xml:space="preserve">compared to 19 ha</w:t>
      </w:r>
      <w:r>
        <w:rPr>
          <w:vertAlign w:val="superscript"/>
        </w:rPr>
        <w:t xml:space="preserve">-1</w:t>
      </w:r>
      <w:r>
        <w:t xml:space="preserve"> </w:t>
      </w:r>
      <w:r>
        <w:t xml:space="preserve">yr</w:t>
      </w:r>
      <w:r>
        <w:rPr>
          <w:vertAlign w:val="superscript"/>
        </w:rPr>
        <w:t xml:space="preserve">-1</w:t>
      </w:r>
      <w:r>
        <w:t xml:space="preserve">. In particular, the recruitment rate of</w:t>
      </w:r>
      <w:r>
        <w:t xml:space="preserve"> </w:t>
      </w:r>
      <w:r>
        <w:rPr>
          <w:iCs/>
          <w:i/>
        </w:rPr>
        <w:t xml:space="preserve">Carya</w:t>
      </w:r>
      <w:r>
        <w:t xml:space="preserve"> </w:t>
      </w:r>
      <w:r>
        <w:t xml:space="preserve">spp. and</w:t>
      </w:r>
      <w:r>
        <w:t xml:space="preserve"> </w:t>
      </w:r>
      <w:r>
        <w:rPr>
          <w:iCs/>
          <w:i/>
        </w:rPr>
        <w:t xml:space="preserve">Quercus</w:t>
      </w:r>
      <w:r>
        <w:t xml:space="preserve"> </w:t>
      </w:r>
      <w:r>
        <w:t xml:space="preserve">spp., late-successional taxa characteristic of this forest’s expected climax state, was reduced by &gt; 50% in areas with high deer density. The prevalence of vulnerable canopy species in regions with low deer density showed no significant impact on the total quantity of canopy species recruitment into the understory. However, recruitment of</w:t>
      </w:r>
      <w:r>
        <w:t xml:space="preserve"> </w:t>
      </w:r>
      <w:r>
        <w:rPr>
          <w:iCs/>
          <w:i/>
        </w:rPr>
        <w:t xml:space="preserve">Fraxinus americana</w:t>
      </w:r>
      <w:r>
        <w:t xml:space="preserve"> </w:t>
      </w:r>
      <w:r>
        <w:t xml:space="preserve">and</w:t>
      </w:r>
      <w:r>
        <w:t xml:space="preserve"> </w:t>
      </w:r>
      <w:r>
        <w:rPr>
          <w:iCs/>
          <w:i/>
        </w:rPr>
        <w:t xml:space="preserve">Fagus grandifolia</w:t>
      </w:r>
      <w:r>
        <w:t xml:space="preserve"> </w:t>
      </w:r>
      <w:r>
        <w:t xml:space="preserve">was higher in areas with high canopy vulnerability, while recruitment of</w:t>
      </w:r>
      <w:r>
        <w:t xml:space="preserve"> </w:t>
      </w:r>
      <w:r>
        <w:rPr>
          <w:iCs/>
          <w:i/>
        </w:rPr>
        <w:t xml:space="preserve">Ulmus rubra</w:t>
      </w:r>
      <w:r>
        <w:t xml:space="preserve"> </w:t>
      </w:r>
      <w:r>
        <w:t xml:space="preserve">and</w:t>
      </w:r>
      <w:r>
        <w:t xml:space="preserve"> </w:t>
      </w:r>
      <w:r>
        <w:rPr>
          <w:iCs/>
          <w:i/>
        </w:rPr>
        <w:t xml:space="preserve">Carya</w:t>
      </w:r>
      <w:r>
        <w:t xml:space="preserve"> </w:t>
      </w:r>
      <w:r>
        <w:t xml:space="preserve">spp. was lower. Across all regions, the recruitment rate of understory taxa was nearly 10 times that of canopy taxa. Recruitment of</w:t>
      </w:r>
      <w:r>
        <w:t xml:space="preserve"> </w:t>
      </w:r>
      <w:r>
        <w:rPr>
          <w:iCs/>
          <w:i/>
        </w:rPr>
        <w:t xml:space="preserve">Lindera benzoin</w:t>
      </w:r>
      <w:r>
        <w:t xml:space="preserve"> </w:t>
      </w:r>
      <w:r>
        <w:t xml:space="preserve">was high across all regions (&gt; 100 stems ha</w:t>
      </w:r>
      <w:r>
        <w:rPr>
          <w:vertAlign w:val="superscript"/>
        </w:rPr>
        <w:t xml:space="preserve">-1</w:t>
      </w:r>
      <w:r>
        <w:t xml:space="preserve"> </w:t>
      </w:r>
      <w:r>
        <w:t xml:space="preserve">yr</w:t>
      </w:r>
      <w:r>
        <w:rPr>
          <w:vertAlign w:val="superscript"/>
        </w:rPr>
        <w:t xml:space="preserve">-1</w:t>
      </w:r>
      <w:r>
        <w:t xml:space="preserve">), and significantly increased in areas with high deer densities while peaking in areas that also had low canopy vulnerability.</w:t>
      </w:r>
      <w:r>
        <w:t xml:space="preserve"> </w:t>
      </w:r>
      <w:r>
        <w:rPr>
          <w:iCs/>
          <w:i/>
        </w:rPr>
        <w:t xml:space="preserve">Asimina triloba</w:t>
      </w:r>
      <w:r>
        <w:t xml:space="preserve"> </w:t>
      </w:r>
      <w:r>
        <w:t xml:space="preserve">recruitment was also lowest within the deer exclosure (18.6 stems ha</w:t>
      </w:r>
      <w:r>
        <w:rPr>
          <w:vertAlign w:val="superscript"/>
        </w:rPr>
        <w:t xml:space="preserve">-1</w:t>
      </w:r>
      <w:r>
        <w:t xml:space="preserve"> </w:t>
      </w:r>
      <w:r>
        <w:t xml:space="preserve">yr</w:t>
      </w:r>
      <w:r>
        <w:rPr>
          <w:vertAlign w:val="superscript"/>
        </w:rPr>
        <w:t xml:space="preserve">-1</w:t>
      </w:r>
      <w:r>
        <w:t xml:space="preserve">) but was highest in the region with high deer density and high canopy vulnerability (76.6 stems ha</w:t>
      </w:r>
      <w:r>
        <w:rPr>
          <w:vertAlign w:val="superscript"/>
        </w:rPr>
        <w:t xml:space="preserve">-1</w:t>
      </w:r>
      <w:r>
        <w:t xml:space="preserve"> </w:t>
      </w:r>
      <w:r>
        <w:t xml:space="preserve">yr</w:t>
      </w:r>
      <w:r>
        <w:rPr>
          <w:vertAlign w:val="superscript"/>
        </w:rPr>
        <w:t xml:space="preserve">-1</w:t>
      </w:r>
      <w:r>
        <w:t xml:space="preserve">).</w:t>
      </w:r>
    </w:p>
    <w:p>
      <w:pPr>
        <w:pStyle w:val="CaptionedFigure"/>
      </w:pPr>
      <w:r>
        <w:drawing>
          <wp:inline>
            <wp:extent cx="5943600" cy="3962400"/>
            <wp:effectExtent b="0" l="0" r="0" t="0"/>
            <wp:docPr descr="Figure 5. Average annual recruitment (2008-2023) of canopy and understory tree species at the SCBI ForestGEO plot across areas differentiated by intensity of deer browsing and 2008 abundance of canopy tree species vulnerable to non-indigenous pests and pathogens. Note that y-axes differ, with understory species recruitment &gt; 20x that of canopy species recruitment." title="" id="42" name="Picture"/>
            <a:graphic>
              <a:graphicData uri="http://schemas.openxmlformats.org/drawingml/2006/picture">
                <pic:pic>
                  <pic:nvPicPr>
                    <pic:cNvPr descr="display/Figure5.jpe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areas differentiated by intensity of deer browsing and 2008 abundance of canopy tree species vulnerable to non-indigenous pests and pathogens.</w:t>
      </w:r>
      <w:r>
        <w:t xml:space="preserve"> </w:t>
      </w:r>
      <w:r>
        <w:t xml:space="preserve">Note that y-axes differ, with understory species recruitment &gt; 20x that of canopy species recruitment.</w:t>
      </w:r>
    </w:p>
    <w:bookmarkEnd w:id="44"/>
    <w:bookmarkStart w:id="48" w:name="overlapping-biomass-loss-and-recruitment"/>
    <w:p>
      <w:pPr>
        <w:pStyle w:val="Heading2"/>
      </w:pPr>
      <w:r>
        <w:rPr>
          <w:rStyle w:val="SectionNumber"/>
        </w:rPr>
        <w:t xml:space="preserve">3.3</w:t>
      </w:r>
      <w:r>
        <w:tab/>
      </w:r>
      <w:r>
        <w:t xml:space="preserve">Overlapping biomass loss and recruitment</w:t>
      </w:r>
    </w:p>
    <w:p>
      <w:pPr>
        <w:pStyle w:val="FirstParagraph"/>
      </w:pPr>
      <w:r>
        <w:t xml:space="preserve">Our analyses reveal significant areas of decreasing AGB and suppressed regeneration of canopy species. Specifically, we found that 86% of the plot has either experienced -∆AGB from 2008-2023 or has a low AGB of canopy taxa in the understory. Only 21.7% of the plot exhibits an understory with high AGB of species capable of reaching the canopy. Within the region characterized by high deer density and high canopy vulnerability 84% of the area has lost canopy biomass, only 5.4% has an understory containing high AGB of canopy taxa, and 0% of area exhibits both. In contrast, 72.7% of the region with low deer density and low canopy vulnerability had a net increase of AGB. Furthermore, 70.7% of this same region has high AGB of canopy species in the understory, indicating a higher likelihood of future C sequestration.</w:t>
      </w:r>
    </w:p>
    <w:p>
      <w:pPr>
        <w:pStyle w:val="CaptionedFigure"/>
      </w:pPr>
      <w:r>
        <w:drawing>
          <wp:inline>
            <wp:extent cx="3810000" cy="2540000"/>
            <wp:effectExtent b="0" l="0" r="0" t="0"/>
            <wp:docPr descr="Figure 6. Characterizing the SCBI ForestGEO plot by changes in canopy biomass (2008-2023) and the biomass of canopy taxa in the understory in 2023. (a) Each .04 ha quadrat is classified by the ∆AGB of canopy trees over the 15-year study period and the AGB of canopy taxa in the understory in 2023. (b) The % area of each region that falls within each classification." title="" id="46" name="Picture"/>
            <a:graphic>
              <a:graphicData uri="http://schemas.openxmlformats.org/drawingml/2006/picture">
                <pic:pic>
                  <pic:nvPicPr>
                    <pic:cNvPr descr="display/Figure6.jpe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 Characterizing the SCBI ForestGEO plot by changes in canopy biomass (2008-2023) and the biomass of canopy taxa in the understory in 2023.</w:t>
      </w:r>
      <w:r>
        <w:t xml:space="preserve"> </w:t>
      </w:r>
      <w:r>
        <w:t xml:space="preserve">(a) Each .04 ha quadrat is classified by the ∆AGB of canopy trees over the 15-year study period and the AGB of canopy taxa in the understory in 2023. (b) The % area of each region that falls within each classification.</w:t>
      </w:r>
    </w:p>
    <w:bookmarkEnd w:id="48"/>
    <w:bookmarkEnd w:id="49"/>
    <w:bookmarkStart w:id="50" w:name="discussion"/>
    <w:p>
      <w:pPr>
        <w:pStyle w:val="Heading1"/>
      </w:pPr>
      <w:r>
        <w:rPr>
          <w:rStyle w:val="SectionNumber"/>
        </w:rPr>
        <w:t xml:space="preserve">4</w:t>
      </w:r>
      <w:r>
        <w:tab/>
      </w:r>
      <w:r>
        <w:t xml:space="preserve">Discussion</w:t>
      </w:r>
    </w:p>
    <w:p>
      <w:pPr>
        <w:pStyle w:val="FirstParagraph"/>
      </w:pPr>
      <w:r>
        <w:t xml:space="preserve">Our investigation supports our hypotheses and demonstrates that the combination of -∆AGB and limited recruitment of canopy species in the understory is compromising the potential carbon sink of this forest, now and into the future. Decreases in AGB were largest in the regions of the plot with high canopy vulnerability to pests and pathogens. These regions also exhibited the lowest recruitment of canopy species in the understory. The region with low deer density had the highest amount of canopy species in the understory. Despite localized increases in AGB, notably in areas with low canopy vulnerability, on net, these increases are not outpacing AGB lost through a combination of increased AWM and decreasing AWG. Moreover, the low recruitment of canopy species in areas with high canopy vulnerability suggests that heavy deer browsing on canopy species may be exacerbated in areas with canopy openings due to nuisance-species driven mortality where fast-growing understory species that are resistant to deer can take advantage, further competing with canopy recruitment.</w:t>
      </w:r>
    </w:p>
    <w:p>
      <w:pPr>
        <w:pStyle w:val="BodyText"/>
      </w:pPr>
      <w:r>
        <w:t xml:space="preserve">We find that while nuisance species have had a large impact on AGB loss at our site (primarily through increased AWM of</w:t>
      </w:r>
      <w:r>
        <w:t xml:space="preserve"> </w:t>
      </w:r>
      <w:r>
        <w:rPr>
          <w:iCs/>
          <w:i/>
        </w:rPr>
        <w:t xml:space="preserve">Fraxinus americana</w:t>
      </w:r>
      <w:r>
        <w:t xml:space="preserve">; Anderson-Teixeira et al, 2021), mortality among oak species, which is not linked to a non-indigenous nuisance species, is substantial as well. Oak species in the region are generally found in older, even aged cohorts, which can contribute to accelerated mortality rates (Oak et al., 2016). However, large oak mortality events, which often occur over protracted periods of time, have been common globally over the past century. These mortality events are often termed</w:t>
      </w:r>
      <w:r>
        <w:t xml:space="preserve"> </w:t>
      </w:r>
      <w:r>
        <w:t xml:space="preserve">“</w:t>
      </w:r>
      <w:r>
        <w:t xml:space="preserve">oak decline</w:t>
      </w:r>
      <w:r>
        <w:t xml:space="preserve">”</w:t>
      </w:r>
      <w:r>
        <w:t xml:space="preserve"> </w:t>
      </w:r>
      <w:r>
        <w:t xml:space="preserve">events due to the complex abiotic and biotic factors which interact to incite mortality (Manion and Lachance, 1992). Oak decline is believed to be the result of an imbalance in carbohydrate dynamics, which weakens oak trees’ resistance to pest and pathogen invasion, eventually leading to mortality (Manion and Lachance, 1992).</w:t>
      </w:r>
    </w:p>
    <w:p>
      <w:pPr>
        <w:pStyle w:val="BodyText"/>
      </w:pPr>
      <w:r>
        <w:t xml:space="preserve">Relying on the current understory as a proxy for future canopy presents challenges. White-tailed deer populations have varied greatly over the last century (citation). Moreover, some canopy species, including some</w:t>
      </w:r>
      <w:r>
        <w:t xml:space="preserve"> </w:t>
      </w:r>
      <w:r>
        <w:rPr>
          <w:iCs/>
          <w:i/>
        </w:rPr>
        <w:t xml:space="preserve">Quercus</w:t>
      </w:r>
      <w:r>
        <w:t xml:space="preserve"> </w:t>
      </w:r>
      <w:r>
        <w:t xml:space="preserve">spp., are hypothesized to recruit in synchronized pulse events (Koenig, 2021). A decline in deer population that reduces browsing pressure and coincides with a recruitment pulse, could allow for substantial, rapid regeneration of canopy species. However, current recruitment levels are below a rate which we would expect in maturing secondary forests. When overlaid with increasing mortality, regeneration may be insufficient to prevent extended periods without a closed canopy.</w:t>
      </w:r>
    </w:p>
    <w:p>
      <w:pPr>
        <w:pStyle w:val="BodyText"/>
      </w:pPr>
      <w:r>
        <w:t xml:space="preserve">Despite inherent limitations in extrapolating findings from a single site, we find robust evidence suggesting broader applicability. Mixed-hardwood forests, akin to our study site, are typical of the mid-Atlantic region. The persistently elevated deer populations documented at this site are reported throughout eastern US forests. Furthermore,the widespread occurrence of vulnerable species (</w:t>
      </w:r>
      <w:r>
        <w:rPr>
          <w:iCs/>
          <w:i/>
        </w:rPr>
        <w:t xml:space="preserve">e.g.</w:t>
      </w:r>
      <w:r>
        <w:t xml:space="preserve"> </w:t>
      </w:r>
      <w:r>
        <w:rPr>
          <w:iCs/>
          <w:i/>
        </w:rPr>
        <w:t xml:space="preserve">Fraxinus</w:t>
      </w:r>
      <w:r>
        <w:t xml:space="preserve"> </w:t>
      </w:r>
      <w:r>
        <w:t xml:space="preserve">spp.) and continued spread of non-indigenous nuisance species (</w:t>
      </w:r>
      <w:r>
        <w:rPr>
          <w:iCs/>
          <w:i/>
        </w:rPr>
        <w:t xml:space="preserve">e.g.</w:t>
      </w:r>
      <w:r>
        <w:t xml:space="preserve"> </w:t>
      </w:r>
      <w:r>
        <w:t xml:space="preserve">emerald ash borer, EAB) reinforces the relevance of our findings to the broader regional context. EAB consistently induces near-total mortality in</w:t>
      </w:r>
      <w:r>
        <w:t xml:space="preserve"> </w:t>
      </w:r>
      <w:r>
        <w:rPr>
          <w:iCs/>
          <w:i/>
        </w:rPr>
        <w:t xml:space="preserve">Fraxinus</w:t>
      </w:r>
      <w:r>
        <w:t xml:space="preserve"> </w:t>
      </w:r>
      <w:r>
        <w:t xml:space="preserve">spp. once infected, to such an extent that five species in North America (including</w:t>
      </w:r>
      <w:r>
        <w:t xml:space="preserve"> </w:t>
      </w:r>
      <w:r>
        <w:rPr>
          <w:iCs/>
          <w:i/>
        </w:rPr>
        <w:t xml:space="preserve">Fraxinus americana</w:t>
      </w:r>
      <w:r>
        <w:t xml:space="preserve">) are now critically endangered (Knight et al, 2013, IUCN Red list).</w:t>
      </w:r>
    </w:p>
    <w:p>
      <w:pPr>
        <w:pStyle w:val="BodyText"/>
      </w:pPr>
      <w:r>
        <w:t xml:space="preserve">Our results underscore the importance of accounting for nuisance species in higher-level models and understanding of temperate forest ecosystem processes. Nuisance species, driven by human introduction and perturbations to ecological equilibriums, interact with other anthropogenic changes to modify forest ecosystems. By increasing mortality, nuisance species have the capacity to alter short-term carbon dynamics, resulting in large carbon losses that would not be expected in models that exclude them. Through recruitment suppression, nuisance species can have long-term effects that may alter successional dynamics. They can delay recovery from disturbances, anthropogenic or natural, and even suppress regeneration into a closed-canopy for sustained periods. They also can decrease resilience to other pressures as pests and pathogens decrease canopy diversity by shrinking the number of possible canopy species.</w:t>
      </w:r>
    </w:p>
    <w:p>
      <w:pPr>
        <w:pStyle w:val="BodyText"/>
      </w:pPr>
      <w:r>
        <w:t xml:space="preserve">Nuisance species pose a serious threat to health of temperate forests. But, this work highlights the potential of active management to protect them. Increased understory recruitment within the deer exclosure demonstrates that lowering deer populations can reduce browsing pressure. The direct linkage between non-indigenous pests and pathogens and decreased carbon storage demonstrates the need for natural climate solutions that focus on preserving the forests that we have instead of planting new ones. Opportunities exist to expand efforts that prevent further spread, increase the application of extant treatments, and continue research into natural immunity.</w:t>
      </w:r>
    </w:p>
    <w:bookmarkEnd w:id="50"/>
    <w:bookmarkStart w:id="51" w:name="conclusions-future-directions"/>
    <w:p>
      <w:pPr>
        <w:pStyle w:val="Heading1"/>
      </w:pPr>
      <w:r>
        <w:rPr>
          <w:rStyle w:val="SectionNumber"/>
        </w:rPr>
        <w:t xml:space="preserve">5</w:t>
      </w:r>
      <w:r>
        <w:tab/>
      </w:r>
      <w:r>
        <w:t xml:space="preserve">Conclusions /Future Directions</w:t>
      </w:r>
    </w:p>
    <w:p>
      <w:pPr>
        <w:pStyle w:val="FirstParagraph"/>
      </w:pPr>
      <w:r>
        <w:t xml:space="preserve">Expand analyses across other temperate forests. Different forest compositions and herbivory dynamics, but many pests and pathogens. Leverage other forest dynamics sites to quantify the impact of nuisance species across large regions.</w:t>
      </w:r>
      <w:r>
        <w:t xml:space="preserve"> </w:t>
      </w:r>
      <w:r>
        <w:t xml:space="preserve">Investigate productivity responses of surviving canopy. We would expect survivors adjacent to gaps increase productivity as competition decreases, but may be hampered by climate change.</w:t>
      </w:r>
      <w:r>
        <w:t xml:space="preserve"> </w:t>
      </w:r>
      <w:r>
        <w:t xml:space="preserve">Interactions of global change drivers are critical to understand (though difficult to study).</w:t>
      </w:r>
    </w:p>
    <w:bookmarkEnd w:id="51"/>
    <w:bookmarkStart w:id="52" w:name="Acknowledgements"/>
    <w:p>
      <w:pPr>
        <w:pStyle w:val="Heading1"/>
      </w:pPr>
      <w:r>
        <w:t xml:space="preserve">Acknowledgements</w:t>
      </w:r>
    </w:p>
    <w:p>
      <w:pPr>
        <w:numPr>
          <w:ilvl w:val="0"/>
          <w:numId w:val="1002"/>
        </w:numPr>
        <w:pStyle w:val="Compact"/>
      </w:pPr>
      <w:r>
        <w:t xml:space="preserve">Funding: ForestGEO</w:t>
      </w:r>
    </w:p>
    <w:bookmarkEnd w:id="52"/>
    <w:bookmarkStart w:id="53" w:name="Conflict"/>
    <w:p>
      <w:pPr>
        <w:pStyle w:val="Heading1"/>
      </w:pPr>
      <w:r>
        <w:t xml:space="preserve">Competing Interests</w:t>
      </w:r>
    </w:p>
    <w:p>
      <w:pPr>
        <w:pStyle w:val="FirstParagraph"/>
      </w:pPr>
      <w:r>
        <w:t xml:space="preserve">The authors declare no conflict of interest.</w:t>
      </w:r>
    </w:p>
    <w:bookmarkEnd w:id="53"/>
    <w:bookmarkStart w:id="54" w:name="Authors"/>
    <w:p>
      <w:pPr>
        <w:pStyle w:val="Heading1"/>
      </w:pPr>
      <w:r>
        <w:t xml:space="preserve">Author Contributions</w:t>
      </w:r>
    </w:p>
    <w:p>
      <w:pPr>
        <w:pStyle w:val="FirstParagraph"/>
      </w:pPr>
      <w:r>
        <w:rPr>
          <w:iCs/>
          <w:i/>
        </w:rPr>
        <w:t xml:space="preserve">[Name of author 1] and [Name of author 2] conceived the ideas and designed methodology; [Name of author 1] and [Name of author 3] collected the data; [Name of author 2] and [Name of author 4] analysed the data; [Name of author 1] and [Name of author 4] led the writing of the manuscript. All authors contributed critically to the drafts and gave final approval for publication.</w:t>
      </w:r>
    </w:p>
    <w:bookmarkEnd w:id="54"/>
    <w:bookmarkStart w:id="55" w:name="Data"/>
    <w:p>
      <w:pPr>
        <w:pStyle w:val="Heading1"/>
      </w:pPr>
      <w:r>
        <w:t xml:space="preserve">Data availability</w:t>
      </w:r>
    </w:p>
    <w:p>
      <w:r>
        <w:br w:type="page"/>
      </w:r>
    </w:p>
    <w:bookmarkEnd w:id="55"/>
    <w:bookmarkStart w:id="137" w:name="references"/>
    <w:p>
      <w:pPr>
        <w:pStyle w:val="Heading1"/>
      </w:pPr>
      <w:r>
        <w:t xml:space="preserve">References</w:t>
      </w:r>
    </w:p>
    <w:bookmarkStart w:id="136" w:name="refs"/>
    <w:bookmarkStart w:id="57" w:name="ref-ahlstro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6">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7"/>
    <w:bookmarkStart w:id="59" w:name="ref-anderson-teixeira_ctfsforestgeo_2015"/>
    <w:p>
      <w:pPr>
        <w:pStyle w:val="Bibliography"/>
      </w:pP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Joseph Wright S</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Almeyda Zambrano AM</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Baltzer JL</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58">
        <w:r>
          <w:rPr>
            <w:rStyle w:val="Hyperlink"/>
          </w:rPr>
          <w:t xml:space="preserve">CTFS-ForestGEO</w:t>
        </w:r>
        <w:r>
          <w:rPr>
            <w:rStyle w:val="Hyperlink"/>
          </w:rPr>
          <w:t xml:space="preserve">: A worldwide network monitoring forests in an era of global change</w:t>
        </w:r>
      </w:hyperlink>
      <w:r>
        <w:t xml:space="preserve">.</w:t>
      </w:r>
      <w:r>
        <w:t xml:space="preserve"> </w:t>
      </w:r>
      <w:r>
        <w:rPr>
          <w:iCs/>
          <w:i/>
        </w:rPr>
        <w:t xml:space="preserve">Global Change Biology</w:t>
      </w:r>
      <w:r>
        <w:t xml:space="preserve"> </w:t>
      </w:r>
      <w:r>
        <w:rPr>
          <w:bCs/>
          <w:b/>
        </w:rPr>
        <w:t xml:space="preserve">21</w:t>
      </w:r>
      <w:r>
        <w:t xml:space="preserve">: 528–549.</w:t>
      </w:r>
    </w:p>
    <w:bookmarkEnd w:id="59"/>
    <w:bookmarkStart w:id="61"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0">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61"/>
    <w:bookmarkStart w:id="63"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62">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3"/>
    <w:bookmarkStart w:id="65"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4">
        <w:r>
          <w:rPr>
            <w:rStyle w:val="Hyperlink"/>
          </w:rPr>
          <w:t xml:space="preserve">Carbon– concentration and carbon– 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 (Online)</w:t>
      </w:r>
      <w:r>
        <w:t xml:space="preserve"> </w:t>
      </w:r>
      <w:r>
        <w:rPr>
          <w:bCs/>
          <w:b/>
        </w:rPr>
        <w:t xml:space="preserve">17</w:t>
      </w:r>
      <w:r>
        <w:t xml:space="preserve">: 4173–4222.</w:t>
      </w:r>
    </w:p>
    <w:bookmarkEnd w:id="65"/>
    <w:bookmarkStart w:id="67" w:name="ref-aukema_historical_2010"/>
    <w:p>
      <w:pPr>
        <w:pStyle w:val="Bibliography"/>
      </w:pPr>
      <w:r>
        <w:rPr>
          <w:bCs/>
          <w:b/>
          <w:bCs/>
          <w:b/>
        </w:rPr>
        <w:t xml:space="preserve">Aukema JE</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Holle BV</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Britton K</w:t>
      </w:r>
      <w:r>
        <w:rPr>
          <w:bCs/>
          <w:b/>
        </w:rPr>
        <w:t xml:space="preserve">,</w:t>
      </w:r>
      <w:r>
        <w:rPr>
          <w:bCs/>
          <w:b/>
        </w:rPr>
        <w:t xml:space="preserve"> </w:t>
      </w:r>
      <w:r>
        <w:rPr>
          <w:bCs/>
          <w:b/>
          <w:bCs/>
          <w:b/>
        </w:rPr>
        <w:t xml:space="preserve">Frankel SJ</w:t>
      </w:r>
      <w:r>
        <w:t xml:space="preserve">.</w:t>
      </w:r>
      <w:r>
        <w:t xml:space="preserve"> </w:t>
      </w:r>
      <w:r>
        <w:rPr>
          <w:bCs/>
          <w:b/>
        </w:rPr>
        <w:t xml:space="preserve">2010</w:t>
      </w:r>
      <w:r>
        <w:t xml:space="preserve">.</w:t>
      </w:r>
      <w:r>
        <w:t xml:space="preserve"> </w:t>
      </w:r>
      <w:hyperlink r:id="rId66">
        <w:r>
          <w:rPr>
            <w:rStyle w:val="Hyperlink"/>
          </w:rPr>
          <w:t xml:space="preserve">Historical</w:t>
        </w:r>
        <w:r>
          <w:rPr>
            <w:rStyle w:val="Hyperlink"/>
          </w:rPr>
          <w:t xml:space="preserve"> </w:t>
        </w:r>
        <w:r>
          <w:rPr>
            <w:rStyle w:val="Hyperlink"/>
          </w:rPr>
          <w:t xml:space="preserve">Accumulation</w:t>
        </w:r>
        <w:r>
          <w:rPr>
            <w:rStyle w:val="Hyperlink"/>
          </w:rPr>
          <w:t xml:space="preserve"> </w:t>
        </w:r>
        <w:r>
          <w:rPr>
            <w:rStyle w:val="Hyperlink"/>
          </w:rPr>
          <w:t xml:space="preserve">of</w:t>
        </w:r>
        <w:r>
          <w:rPr>
            <w:rStyle w:val="Hyperlink"/>
          </w:rPr>
          <w:t xml:space="preserve"> </w:t>
        </w:r>
        <w:r>
          <w:rPr>
            <w:rStyle w:val="Hyperlink"/>
          </w:rPr>
          <w:t xml:space="preserve">Nonindigenous Forest Pests</w:t>
        </w:r>
        <w:r>
          <w:rPr>
            <w:rStyle w:val="Hyperlink"/>
          </w:rPr>
          <w:t xml:space="preserve"> </w:t>
        </w:r>
        <w:r>
          <w:rPr>
            <w:rStyle w:val="Hyperlink"/>
          </w:rPr>
          <w:t xml:space="preserve">in the</w:t>
        </w:r>
        <w:r>
          <w:rPr>
            <w:rStyle w:val="Hyperlink"/>
          </w:rPr>
          <w:t xml:space="preserve"> </w:t>
        </w:r>
        <w:r>
          <w:rPr>
            <w:rStyle w:val="Hyperlink"/>
          </w:rPr>
          <w:t xml:space="preserve">Continental United States</w:t>
        </w:r>
      </w:hyperlink>
      <w:r>
        <w:t xml:space="preserve">.</w:t>
      </w:r>
      <w:r>
        <w:t xml:space="preserve"> </w:t>
      </w:r>
      <w:r>
        <w:rPr>
          <w:iCs/>
          <w:i/>
        </w:rPr>
        <w:t xml:space="preserve">BioScience 60(11):886-897. 2010</w:t>
      </w:r>
      <w:r>
        <w:t xml:space="preserve"> </w:t>
      </w:r>
      <w:r>
        <w:rPr>
          <w:bCs/>
          <w:b/>
        </w:rPr>
        <w:t xml:space="preserve">60</w:t>
      </w:r>
      <w:r>
        <w:t xml:space="preserve">: 886–897.</w:t>
      </w:r>
    </w:p>
    <w:bookmarkEnd w:id="67"/>
    <w:bookmarkStart w:id="69" w:name="ref-bourg_initial_2013"/>
    <w:p>
      <w:pPr>
        <w:pStyle w:val="Bibliography"/>
      </w:pPr>
      <w:r>
        <w:rPr>
          <w:bCs/>
          <w:b/>
          <w:bCs/>
          <w:b/>
        </w:rPr>
        <w:t xml:space="preserve">Bourg N</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McGarvey 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68">
        <w:r>
          <w:rPr>
            <w:rStyle w:val="Hyperlink"/>
          </w:rPr>
          <w:t xml:space="preserve">Initial census, woody seedling, seed rain, and stand structure data for the</w:t>
        </w:r>
        <w:r>
          <w:rPr>
            <w:rStyle w:val="Hyperlink"/>
          </w:rPr>
          <w:t xml:space="preserve"> </w:t>
        </w:r>
        <w:r>
          <w:rPr>
            <w:rStyle w:val="Hyperlink"/>
          </w:rPr>
          <w:t xml:space="preserve">SCBI SIGEO Large Forest Dynamics Plot</w:t>
        </w:r>
      </w:hyperlink>
      <w:r>
        <w:t xml:space="preserve">.</w:t>
      </w:r>
      <w:r>
        <w:t xml:space="preserve"> </w:t>
      </w:r>
      <w:r>
        <w:rPr>
          <w:iCs/>
          <w:i/>
        </w:rPr>
        <w:t xml:space="preserve">Ecology</w:t>
      </w:r>
      <w:r>
        <w:t xml:space="preserve"> </w:t>
      </w:r>
      <w:r>
        <w:rPr>
          <w:bCs/>
          <w:b/>
        </w:rPr>
        <w:t xml:space="preserve">94</w:t>
      </w:r>
      <w:r>
        <w:t xml:space="preserve">: 2111–2112.</w:t>
      </w:r>
    </w:p>
    <w:bookmarkEnd w:id="69"/>
    <w:bookmarkStart w:id="71" w:name="ref-brockerhoff_ecology_2006"/>
    <w:p>
      <w:pPr>
        <w:pStyle w:val="Bibliography"/>
      </w:pPr>
      <w:r>
        <w:rPr>
          <w:bCs/>
          <w:b/>
          <w:bCs/>
          <w:b/>
        </w:rPr>
        <w:t xml:space="preserve">Brockerhoff EG</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Jactel H</w:t>
      </w:r>
      <w:r>
        <w:t xml:space="preserve">.</w:t>
      </w:r>
      <w:r>
        <w:t xml:space="preserve"> </w:t>
      </w:r>
      <w:r>
        <w:rPr>
          <w:bCs/>
          <w:b/>
        </w:rPr>
        <w:t xml:space="preserve">2006</w:t>
      </w:r>
      <w:r>
        <w:t xml:space="preserve">.</w:t>
      </w:r>
      <w:r>
        <w:t xml:space="preserve"> </w:t>
      </w:r>
      <w:hyperlink r:id="rId70">
        <w:r>
          <w:rPr>
            <w:rStyle w:val="Hyperlink"/>
          </w:rPr>
          <w:t xml:space="preserve">The ecology of forest insect invasions and advances in their management</w:t>
        </w:r>
      </w:hyperlink>
      <w:r>
        <w:t xml:space="preserve">.</w:t>
      </w:r>
      <w:r>
        <w:t xml:space="preserve"> </w:t>
      </w:r>
      <w:r>
        <w:rPr>
          <w:iCs/>
          <w:i/>
        </w:rPr>
        <w:t xml:space="preserve">Canadian Journal of Forest Research 36:263-268</w:t>
      </w:r>
      <w:r>
        <w:t xml:space="preserve"> </w:t>
      </w:r>
      <w:r>
        <w:rPr>
          <w:bCs/>
          <w:b/>
        </w:rPr>
        <w:t xml:space="preserve">36</w:t>
      </w:r>
      <w:r>
        <w:t xml:space="preserve">.</w:t>
      </w:r>
    </w:p>
    <w:bookmarkEnd w:id="71"/>
    <w:bookmarkStart w:id="73" w:name="ref-brown_future_2000"/>
    <w:p>
      <w:pPr>
        <w:pStyle w:val="Bibliography"/>
      </w:pPr>
      <w:r>
        <w:rPr>
          <w:bCs/>
          <w:b/>
          <w:bCs/>
          <w:b/>
        </w:rPr>
        <w:t xml:space="preserve">Brown TL</w:t>
      </w:r>
      <w:r>
        <w:rPr>
          <w:bCs/>
          <w:b/>
        </w:rPr>
        <w:t xml:space="preserve">,</w:t>
      </w:r>
      <w:r>
        <w:rPr>
          <w:bCs/>
          <w:b/>
        </w:rPr>
        <w:t xml:space="preserve"> </w:t>
      </w:r>
      <w:r>
        <w:rPr>
          <w:bCs/>
          <w:b/>
          <w:bCs/>
          <w:b/>
        </w:rPr>
        <w:t xml:space="preserve">Decker DJ</w:t>
      </w:r>
      <w:r>
        <w:rPr>
          <w:bCs/>
          <w:b/>
        </w:rPr>
        <w:t xml:space="preserve">,</w:t>
      </w:r>
      <w:r>
        <w:rPr>
          <w:bCs/>
          <w:b/>
        </w:rPr>
        <w:t xml:space="preserve"> </w:t>
      </w:r>
      <w:r>
        <w:rPr>
          <w:bCs/>
          <w:b/>
          <w:bCs/>
          <w:b/>
        </w:rPr>
        <w:t xml:space="preserve">Riley SJ</w:t>
      </w:r>
      <w:r>
        <w:rPr>
          <w:bCs/>
          <w:b/>
        </w:rPr>
        <w:t xml:space="preserve">,</w:t>
      </w:r>
      <w:r>
        <w:rPr>
          <w:bCs/>
          <w:b/>
        </w:rPr>
        <w:t xml:space="preserve"> </w:t>
      </w:r>
      <w:r>
        <w:rPr>
          <w:bCs/>
          <w:b/>
          <w:bCs/>
          <w:b/>
        </w:rPr>
        <w:t xml:space="preserve">Enck JW</w:t>
      </w:r>
      <w:r>
        <w:rPr>
          <w:bCs/>
          <w:b/>
        </w:rPr>
        <w:t xml:space="preserve">,</w:t>
      </w:r>
      <w:r>
        <w:rPr>
          <w:bCs/>
          <w:b/>
        </w:rPr>
        <w:t xml:space="preserve"> </w:t>
      </w:r>
      <w:r>
        <w:rPr>
          <w:bCs/>
          <w:b/>
          <w:bCs/>
          <w:b/>
        </w:rPr>
        <w:t xml:space="preserve">Lauber TB</w:t>
      </w:r>
      <w:r>
        <w:rPr>
          <w:bCs/>
          <w:b/>
        </w:rPr>
        <w:t xml:space="preserve">,</w:t>
      </w:r>
      <w:r>
        <w:rPr>
          <w:bCs/>
          <w:b/>
        </w:rPr>
        <w:t xml:space="preserve"> </w:t>
      </w:r>
      <w:r>
        <w:rPr>
          <w:bCs/>
          <w:b/>
          <w:bCs/>
          <w:b/>
        </w:rPr>
        <w:t xml:space="preserve">Curtis PD</w:t>
      </w:r>
      <w:r>
        <w:rPr>
          <w:bCs/>
          <w:b/>
        </w:rPr>
        <w:t xml:space="preserve">,</w:t>
      </w:r>
      <w:r>
        <w:rPr>
          <w:bCs/>
          <w:b/>
        </w:rPr>
        <w:t xml:space="preserve"> </w:t>
      </w:r>
      <w:r>
        <w:rPr>
          <w:bCs/>
          <w:b/>
          <w:bCs/>
          <w:b/>
        </w:rPr>
        <w:t xml:space="preserve">Mattfeld GF</w:t>
      </w:r>
      <w:r>
        <w:t xml:space="preserve">.</w:t>
      </w:r>
      <w:r>
        <w:t xml:space="preserve"> </w:t>
      </w:r>
      <w:r>
        <w:rPr>
          <w:bCs/>
          <w:b/>
        </w:rPr>
        <w:t xml:space="preserve">2000</w:t>
      </w:r>
      <w:r>
        <w:t xml:space="preserve">.</w:t>
      </w:r>
      <w:r>
        <w:t xml:space="preserve"> </w:t>
      </w:r>
      <w:hyperlink r:id="rId72">
        <w:r>
          <w:rPr>
            <w:rStyle w:val="Hyperlink"/>
          </w:rPr>
          <w:t xml:space="preserve">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Hunting</w:t>
        </w:r>
        <w:r>
          <w:rPr>
            <w:rStyle w:val="Hyperlink"/>
          </w:rPr>
          <w:t xml:space="preserve"> </w:t>
        </w:r>
        <w:r>
          <w:rPr>
            <w:rStyle w:val="Hyperlink"/>
          </w:rPr>
          <w:t xml:space="preserve">as a</w:t>
        </w:r>
        <w:r>
          <w:rPr>
            <w:rStyle w:val="Hyperlink"/>
          </w:rPr>
          <w:t xml:space="preserve"> </w:t>
        </w:r>
        <w:r>
          <w:rPr>
            <w:rStyle w:val="Hyperlink"/>
          </w:rPr>
          <w:t xml:space="preserve">Mechanism</w:t>
        </w:r>
        <w:r>
          <w:rPr>
            <w:rStyle w:val="Hyperlink"/>
          </w:rPr>
          <w:t xml:space="preserve"> </w:t>
        </w:r>
        <w:r>
          <w:rPr>
            <w:rStyle w:val="Hyperlink"/>
          </w:rPr>
          <w:t xml:space="preserve">to</w:t>
        </w:r>
        <w:r>
          <w:rPr>
            <w:rStyle w:val="Hyperlink"/>
          </w:rPr>
          <w:t xml:space="preserve"> </w:t>
        </w:r>
        <w:r>
          <w:rPr>
            <w:rStyle w:val="Hyperlink"/>
          </w:rPr>
          <w:t xml:space="preserve">Control White-Tailed Deer Populations</w:t>
        </w:r>
      </w:hyperlink>
      <w:r>
        <w:t xml:space="preserve">.</w:t>
      </w:r>
      <w:r>
        <w:t xml:space="preserve"> </w:t>
      </w:r>
      <w:r>
        <w:rPr>
          <w:iCs/>
          <w:i/>
        </w:rPr>
        <w:t xml:space="preserve">Wildlife Society Bulletin (1973-2006)</w:t>
      </w:r>
      <w:r>
        <w:t xml:space="preserve"> </w:t>
      </w:r>
      <w:r>
        <w:rPr>
          <w:bCs/>
          <w:b/>
        </w:rPr>
        <w:t xml:space="preserve">28</w:t>
      </w:r>
      <w:r>
        <w:t xml:space="preserve">: 797–807.</w:t>
      </w:r>
    </w:p>
    <w:bookmarkEnd w:id="73"/>
    <w:bookmarkStart w:id="75" w:name="ref-bugalho_effects_2013a"/>
    <w:p>
      <w:pPr>
        <w:pStyle w:val="Bibliography"/>
      </w:pPr>
      <w:r>
        <w:rPr>
          <w:bCs/>
          <w:b/>
          <w:bCs/>
          <w:b/>
        </w:rPr>
        <w:t xml:space="preserve">Bugalho MN</w:t>
      </w:r>
      <w:r>
        <w:rPr>
          <w:bCs/>
          <w:b/>
        </w:rPr>
        <w:t xml:space="preserve">,</w:t>
      </w:r>
      <w:r>
        <w:rPr>
          <w:bCs/>
          <w:b/>
        </w:rPr>
        <w:t xml:space="preserve"> </w:t>
      </w:r>
      <w:r>
        <w:rPr>
          <w:bCs/>
          <w:b/>
          <w:bCs/>
          <w:b/>
        </w:rPr>
        <w:t xml:space="preserve">Ibáñez I</w:t>
      </w:r>
      <w:r>
        <w:rPr>
          <w:bCs/>
          <w:b/>
        </w:rPr>
        <w:t xml:space="preserve">,</w:t>
      </w:r>
      <w:r>
        <w:rPr>
          <w:bCs/>
          <w:b/>
        </w:rPr>
        <w:t xml:space="preserve"> </w:t>
      </w:r>
      <w:r>
        <w:rPr>
          <w:bCs/>
          <w:b/>
          <w:bCs/>
          <w:b/>
        </w:rPr>
        <w:t xml:space="preserve">Clark JS</w:t>
      </w:r>
      <w:r>
        <w:t xml:space="preserve">.</w:t>
      </w:r>
      <w:r>
        <w:t xml:space="preserve"> </w:t>
      </w:r>
      <w:r>
        <w:rPr>
          <w:bCs/>
          <w:b/>
        </w:rPr>
        <w:t xml:space="preserve">2013</w:t>
      </w:r>
      <w:r>
        <w:t xml:space="preserve">.</w:t>
      </w:r>
      <w:r>
        <w:t xml:space="preserve"> </w:t>
      </w:r>
      <w:hyperlink r:id="rId74">
        <w:r>
          <w:rPr>
            <w:rStyle w:val="Hyperlink"/>
          </w:rPr>
          <w:t xml:space="preserve">The effects of deer herbivory and forest type on tree recruitment vary with plant growth stage</w:t>
        </w:r>
      </w:hyperlink>
      <w:r>
        <w:t xml:space="preserve">.</w:t>
      </w:r>
      <w:r>
        <w:t xml:space="preserve"> </w:t>
      </w:r>
      <w:r>
        <w:rPr>
          <w:iCs/>
          <w:i/>
        </w:rPr>
        <w:t xml:space="preserve">Forest Ecology and Management</w:t>
      </w:r>
      <w:r>
        <w:t xml:space="preserve"> </w:t>
      </w:r>
      <w:r>
        <w:rPr>
          <w:bCs/>
          <w:b/>
        </w:rPr>
        <w:t xml:space="preserve">308</w:t>
      </w:r>
      <w:r>
        <w:t xml:space="preserve">: 90–100.</w:t>
      </w:r>
    </w:p>
    <w:bookmarkEnd w:id="75"/>
    <w:bookmarkStart w:id="77"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6">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77"/>
    <w:bookmarkStart w:id="79" w:name="ref-clout_invasion_2008"/>
    <w:p>
      <w:pPr>
        <w:pStyle w:val="Bibliography"/>
      </w:pPr>
      <w:r>
        <w:rPr>
          <w:bCs/>
          <w:b/>
          <w:bCs/>
          <w:b/>
        </w:rPr>
        <w:t xml:space="preserve">Clout MN</w:t>
      </w:r>
      <w:r>
        <w:rPr>
          <w:bCs/>
          <w:b/>
        </w:rPr>
        <w:t xml:space="preserve">,</w:t>
      </w:r>
      <w:r>
        <w:rPr>
          <w:bCs/>
          <w:b/>
        </w:rPr>
        <w:t xml:space="preserve"> </w:t>
      </w:r>
      <w:r>
        <w:rPr>
          <w:bCs/>
          <w:b/>
          <w:bCs/>
          <w:b/>
        </w:rPr>
        <w:t xml:space="preserve">Russell JC</w:t>
      </w:r>
      <w:r>
        <w:t xml:space="preserve">.</w:t>
      </w:r>
      <w:r>
        <w:t xml:space="preserve"> </w:t>
      </w:r>
      <w:r>
        <w:rPr>
          <w:bCs/>
          <w:b/>
        </w:rPr>
        <w:t xml:space="preserve">2008</w:t>
      </w:r>
      <w:r>
        <w:t xml:space="preserve">.</w:t>
      </w:r>
      <w:r>
        <w:t xml:space="preserve"> </w:t>
      </w:r>
      <w:hyperlink r:id="rId78">
        <w:r>
          <w:rPr>
            <w:rStyle w:val="Hyperlink"/>
          </w:rPr>
          <w:t xml:space="preserve">The invasion ecology of mammals: A global perspective</w:t>
        </w:r>
      </w:hyperlink>
      <w:r>
        <w:t xml:space="preserve">.</w:t>
      </w:r>
      <w:r>
        <w:t xml:space="preserve"> </w:t>
      </w:r>
      <w:r>
        <w:rPr>
          <w:iCs/>
          <w:i/>
        </w:rPr>
        <w:t xml:space="preserve">Wildlife Research</w:t>
      </w:r>
      <w:r>
        <w:t xml:space="preserve"> </w:t>
      </w:r>
      <w:r>
        <w:rPr>
          <w:bCs/>
          <w:b/>
        </w:rPr>
        <w:t xml:space="preserve">35</w:t>
      </w:r>
      <w:r>
        <w:t xml:space="preserve">: 180–184.</w:t>
      </w:r>
    </w:p>
    <w:bookmarkEnd w:id="79"/>
    <w:bookmarkStart w:id="81" w:name="ref-condit_tropical_1998"/>
    <w:p>
      <w:pPr>
        <w:pStyle w:val="Bibliography"/>
      </w:pPr>
      <w:r>
        <w:rPr>
          <w:bCs/>
          <w:b/>
          <w:bCs/>
          <w:b/>
        </w:rPr>
        <w:t xml:space="preserve">Condit R</w:t>
      </w:r>
      <w:r>
        <w:t xml:space="preserve">.</w:t>
      </w:r>
      <w:r>
        <w:t xml:space="preserve"> </w:t>
      </w:r>
      <w:r>
        <w:rPr>
          <w:bCs/>
          <w:b/>
        </w:rPr>
        <w:t xml:space="preserve">1998</w:t>
      </w:r>
      <w:r>
        <w:t xml:space="preserve">.</w:t>
      </w:r>
      <w:r>
        <w:t xml:space="preserve"> </w:t>
      </w:r>
      <w:hyperlink r:id="rId80">
        <w:r>
          <w:rPr>
            <w:rStyle w:val="Hyperlink"/>
            <w:iCs/>
            <w:i/>
          </w:rPr>
          <w:t xml:space="preserve">Tropical</w:t>
        </w:r>
        <w:r>
          <w:rPr>
            <w:rStyle w:val="Hyperlink"/>
            <w:iCs/>
            <w:i/>
          </w:rPr>
          <w:t xml:space="preserve"> </w:t>
        </w:r>
        <w:r>
          <w:rPr>
            <w:rStyle w:val="Hyperlink"/>
            <w:iCs/>
            <w:i/>
          </w:rPr>
          <w:t xml:space="preserve">Forest Census Plots</w:t>
        </w:r>
        <w:r>
          <w:rPr>
            <w:rStyle w:val="Hyperlink"/>
            <w:iCs/>
            <w:i/>
          </w:rPr>
          <w:t xml:space="preserve">:</w:t>
        </w:r>
        <w:r>
          <w:rPr>
            <w:rStyle w:val="Hyperlink"/>
            <w:iCs/>
            <w:i/>
          </w:rPr>
          <w:t xml:space="preserve"> </w:t>
        </w:r>
        <w:r>
          <w:rPr>
            <w:rStyle w:val="Hyperlink"/>
            <w:iCs/>
            <w:i/>
          </w:rPr>
          <w:t xml:space="preserve">Methods</w:t>
        </w:r>
        <w:r>
          <w:rPr>
            <w:rStyle w:val="Hyperlink"/>
            <w:iCs/>
            <w:i/>
          </w:rPr>
          <w:t xml:space="preserve"> </w:t>
        </w:r>
        <w:r>
          <w:rPr>
            <w:rStyle w:val="Hyperlink"/>
            <w:iCs/>
            <w:i/>
          </w:rPr>
          <w:t xml:space="preserve">and</w:t>
        </w:r>
        <w:r>
          <w:rPr>
            <w:rStyle w:val="Hyperlink"/>
            <w:iCs/>
            <w:i/>
          </w:rPr>
          <w:t xml:space="preserve"> </w:t>
        </w:r>
        <w:r>
          <w:rPr>
            <w:rStyle w:val="Hyperlink"/>
            <w:iCs/>
            <w:i/>
          </w:rPr>
          <w:t xml:space="preserve">Results</w:t>
        </w:r>
        <w:r>
          <w:rPr>
            <w:rStyle w:val="Hyperlink"/>
            <w:iCs/>
            <w:i/>
          </w:rPr>
          <w:t xml:space="preserve"> </w:t>
        </w:r>
        <w:r>
          <w:rPr>
            <w:rStyle w:val="Hyperlink"/>
            <w:iCs/>
            <w:i/>
          </w:rPr>
          <w:t xml:space="preserve">from</w:t>
        </w:r>
        <w:r>
          <w:rPr>
            <w:rStyle w:val="Hyperlink"/>
            <w:iCs/>
            <w:i/>
          </w:rPr>
          <w:t xml:space="preserve"> </w:t>
        </w:r>
        <w:r>
          <w:rPr>
            <w:rStyle w:val="Hyperlink"/>
            <w:iCs/>
            <w:i/>
          </w:rPr>
          <w:t xml:space="preserve">Barro Colorado Island</w:t>
        </w:r>
        <w:r>
          <w:rPr>
            <w:rStyle w:val="Hyperlink"/>
            <w:iCs/>
            <w:i/>
          </w:rPr>
          <w:t xml:space="preserve">,</w:t>
        </w:r>
        <w:r>
          <w:rPr>
            <w:rStyle w:val="Hyperlink"/>
            <w:iCs/>
            <w:i/>
          </w:rPr>
          <w:t xml:space="preserve"> </w:t>
        </w:r>
        <w:r>
          <w:rPr>
            <w:rStyle w:val="Hyperlink"/>
            <w:iCs/>
            <w:i/>
          </w:rPr>
          <w:t xml:space="preserve">Panama</w:t>
        </w:r>
        <w:r>
          <w:rPr>
            <w:rStyle w:val="Hyperlink"/>
            <w:iCs/>
            <w:i/>
          </w:rPr>
          <w:t xml:space="preserve"> </w:t>
        </w:r>
        <w:r>
          <w:rPr>
            <w:rStyle w:val="Hyperlink"/>
            <w:iCs/>
            <w:i/>
          </w:rPr>
          <w:t xml:space="preserve">and a</w:t>
        </w:r>
        <w:r>
          <w:rPr>
            <w:rStyle w:val="Hyperlink"/>
            <w:iCs/>
            <w:i/>
          </w:rPr>
          <w:t xml:space="preserve"> </w:t>
        </w:r>
        <w:r>
          <w:rPr>
            <w:rStyle w:val="Hyperlink"/>
            <w:iCs/>
            <w:i/>
          </w:rPr>
          <w:t xml:space="preserve">Comparison</w:t>
        </w:r>
        <w:r>
          <w:rPr>
            <w:rStyle w:val="Hyperlink"/>
            <w:iCs/>
            <w:i/>
          </w:rPr>
          <w:t xml:space="preserve"> </w:t>
        </w:r>
        <w:r>
          <w:rPr>
            <w:rStyle w:val="Hyperlink"/>
            <w:iCs/>
            <w:i/>
          </w:rPr>
          <w:t xml:space="preserve">with</w:t>
        </w:r>
        <w:r>
          <w:rPr>
            <w:rStyle w:val="Hyperlink"/>
            <w:iCs/>
            <w:i/>
          </w:rPr>
          <w:t xml:space="preserve"> </w:t>
        </w:r>
        <w:r>
          <w:rPr>
            <w:rStyle w:val="Hyperlink"/>
            <w:iCs/>
            <w:i/>
          </w:rPr>
          <w:t xml:space="preserve">Other Plots</w:t>
        </w:r>
      </w:hyperlink>
      <w:r>
        <w:t xml:space="preserve">. Berlin, Heidelberg: Springer.</w:t>
      </w:r>
    </w:p>
    <w:bookmarkEnd w:id="81"/>
    <w:bookmarkStart w:id="83" w:name="ref-davies_forestgeo_2021"/>
    <w:p>
      <w:pPr>
        <w:pStyle w:val="Bibliography"/>
      </w:pPr>
      <w:r>
        <w:rPr>
          <w:bCs/>
          <w:b/>
          <w:bCs/>
          <w:b/>
        </w:rPr>
        <w:t xml:space="preserve">Davies SJ</w:t>
      </w:r>
      <w:r>
        <w:rPr>
          <w:bCs/>
          <w:b/>
        </w:rPr>
        <w:t xml:space="preserve">,</w:t>
      </w:r>
      <w:r>
        <w:rPr>
          <w:bCs/>
          <w:b/>
        </w:rPr>
        <w:t xml:space="preserve"> </w:t>
      </w:r>
      <w:r>
        <w:rPr>
          <w:bCs/>
          <w:b/>
          <w:bCs/>
          <w:b/>
        </w:rPr>
        <w:t xml:space="preserve">Abiem I</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Andrade A</w:t>
      </w:r>
      <w:r>
        <w:rPr>
          <w:bCs/>
          <w:b/>
        </w:rPr>
        <w:t xml:space="preserve">,</w:t>
      </w:r>
      <w:r>
        <w:rPr>
          <w:bCs/>
          <w:b/>
        </w:rPr>
        <w:t xml:space="preserve"> </w:t>
      </w:r>
      <w:r>
        <w:rPr>
          <w:bCs/>
          <w:b/>
          <w:bCs/>
          <w:b/>
        </w:rPr>
        <w:t xml:space="preserve">Arellano G</w:t>
      </w:r>
      <w:r>
        <w:rPr>
          <w:bCs/>
          <w:b/>
        </w:rPr>
        <w:t xml:space="preserve">,</w:t>
      </w:r>
      <w:r>
        <w:rPr>
          <w:bCs/>
          <w:b/>
        </w:rPr>
        <w:t xml:space="preserve"> </w:t>
      </w:r>
      <w:r>
        <w:rPr>
          <w:bCs/>
          <w:b/>
          <w:bCs/>
          <w:b/>
        </w:rPr>
        <w:t xml:space="preserve">Ashton PS</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2">
        <w:r>
          <w:rPr>
            <w:rStyle w:val="Hyperlink"/>
          </w:rPr>
          <w:t xml:space="preserve">ForestGEO</w:t>
        </w:r>
        <w:r>
          <w:rPr>
            <w:rStyle w:val="Hyperlink"/>
          </w:rPr>
          <w:t xml:space="preserve">:</w:t>
        </w:r>
        <w:r>
          <w:rPr>
            <w:rStyle w:val="Hyperlink"/>
          </w:rPr>
          <w:t xml:space="preserve"> </w:t>
        </w:r>
        <w:r>
          <w:rPr>
            <w:rStyle w:val="Hyperlink"/>
          </w:rPr>
          <w:t xml:space="preserve">Understanding</w:t>
        </w:r>
        <w:r>
          <w:rPr>
            <w:rStyle w:val="Hyperlink"/>
          </w:rPr>
          <w:t xml:space="preserve"> </w:t>
        </w:r>
        <w:r>
          <w:rPr>
            <w:rStyle w:val="Hyperlink"/>
          </w:rPr>
          <w:t xml:space="preserve">forest diversity and dynamics through a global observatory network</w:t>
        </w:r>
      </w:hyperlink>
      <w:r>
        <w:t xml:space="preserve">.</w:t>
      </w:r>
      <w:r>
        <w:t xml:space="preserve"> </w:t>
      </w:r>
      <w:r>
        <w:rPr>
          <w:iCs/>
          <w:i/>
        </w:rPr>
        <w:t xml:space="preserve">Biological Conservation</w:t>
      </w:r>
      <w:r>
        <w:t xml:space="preserve"> </w:t>
      </w:r>
      <w:r>
        <w:rPr>
          <w:bCs/>
          <w:b/>
        </w:rPr>
        <w:t xml:space="preserve">253</w:t>
      </w:r>
      <w:r>
        <w:t xml:space="preserve">: 108907.</w:t>
      </w:r>
    </w:p>
    <w:bookmarkEnd w:id="83"/>
    <w:bookmarkStart w:id="85" w:name="ref-ellison_present_2018"/>
    <w:p>
      <w:pPr>
        <w:pStyle w:val="Bibliography"/>
      </w:pPr>
      <w:r>
        <w:rPr>
          <w:bCs/>
          <w:b/>
          <w:bCs/>
          <w:b/>
        </w:rPr>
        <w:t xml:space="preserve">Ellison AM</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Fitzpatrick MC</w:t>
      </w:r>
      <w:r>
        <w:rPr>
          <w:bCs/>
          <w:b/>
        </w:rPr>
        <w:t xml:space="preserve">,</w:t>
      </w:r>
      <w:r>
        <w:rPr>
          <w:bCs/>
          <w:b/>
        </w:rPr>
        <w:t xml:space="preserve"> </w:t>
      </w:r>
      <w:r>
        <w:rPr>
          <w:bCs/>
          <w:b/>
          <w:bCs/>
          <w:b/>
        </w:rPr>
        <w:t xml:space="preserve">Preisser EL</w:t>
      </w:r>
      <w:r>
        <w:t xml:space="preserve">.</w:t>
      </w:r>
      <w:r>
        <w:t xml:space="preserve"> </w:t>
      </w:r>
      <w:r>
        <w:rPr>
          <w:bCs/>
          <w:b/>
        </w:rPr>
        <w:t xml:space="preserve">2018</w:t>
      </w:r>
      <w:r>
        <w:t xml:space="preserve">.</w:t>
      </w:r>
      <w:r>
        <w:t xml:space="preserve"> </w:t>
      </w:r>
      <w:hyperlink r:id="rId84">
        <w:r>
          <w:rPr>
            <w:rStyle w:val="Hyperlink"/>
          </w:rPr>
          <w:t xml:space="preserve">The</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Present</w:t>
        </w:r>
        <w:r>
          <w:rPr>
            <w:rStyle w:val="Hyperlink"/>
          </w:rPr>
          <w:t xml:space="preserve">, and</w:t>
        </w:r>
        <w:r>
          <w:rPr>
            <w:rStyle w:val="Hyperlink"/>
          </w:rPr>
          <w:t xml:space="preserve"> </w:t>
        </w:r>
        <w:r>
          <w:rPr>
            <w:rStyle w:val="Hyperlink"/>
          </w:rPr>
          <w:t xml:space="preserve">Future</w:t>
        </w:r>
        <w:r>
          <w:rPr>
            <w:rStyle w:val="Hyperlink"/>
          </w:rPr>
          <w:t xml:space="preserve"> </w:t>
        </w:r>
        <w:r>
          <w:rPr>
            <w:rStyle w:val="Hyperlink"/>
          </w:rPr>
          <w:t xml:space="preserve">of the</w:t>
        </w:r>
        <w:r>
          <w:rPr>
            <w:rStyle w:val="Hyperlink"/>
          </w:rPr>
          <w:t xml:space="preserve"> </w:t>
        </w:r>
        <w:r>
          <w:rPr>
            <w:rStyle w:val="Hyperlink"/>
          </w:rPr>
          <w:t xml:space="preserve">Hemlock Woolly Adelgid</w:t>
        </w:r>
        <w:r>
          <w:rPr>
            <w:rStyle w:val="Hyperlink"/>
          </w:rPr>
          <w:t xml:space="preserve"> </w:t>
        </w:r>
        <w:r>
          <w:rPr>
            <w:rStyle w:val="Hyperlink"/>
          </w:rPr>
          <w:t xml:space="preserve">(</w:t>
        </w:r>
        <w:r>
          <w:rPr>
            <w:rStyle w:val="Hyperlink"/>
          </w:rPr>
          <w:t xml:space="preserve">Adelges</w:t>
        </w:r>
        <w:r>
          <w:rPr>
            <w:rStyle w:val="Hyperlink"/>
          </w:rPr>
          <w:t xml:space="preserve"> </w:t>
        </w:r>
        <w:r>
          <w:rPr>
            <w:rStyle w:val="Hyperlink"/>
          </w:rPr>
          <w:t xml:space="preserve">tsugae) and</w:t>
        </w:r>
        <w:r>
          <w:rPr>
            <w:rStyle w:val="Hyperlink"/>
          </w:rPr>
          <w:t xml:space="preserve"> </w:t>
        </w:r>
        <w:r>
          <w:rPr>
            <w:rStyle w:val="Hyperlink"/>
          </w:rPr>
          <w:t xml:space="preserve">Its Ecological Interactions</w:t>
        </w:r>
        <w:r>
          <w:rPr>
            <w:rStyle w:val="Hyperlink"/>
          </w:rPr>
          <w:t xml:space="preserve"> </w:t>
        </w:r>
        <w:r>
          <w:rPr>
            <w:rStyle w:val="Hyperlink"/>
          </w:rPr>
          <w:t xml:space="preserve">with</w:t>
        </w:r>
        <w:r>
          <w:rPr>
            <w:rStyle w:val="Hyperlink"/>
          </w:rPr>
          <w:t xml:space="preserve"> </w:t>
        </w:r>
        <w:r>
          <w:rPr>
            <w:rStyle w:val="Hyperlink"/>
          </w:rPr>
          <w:t xml:space="preserve">Eastern Hemlock</w:t>
        </w:r>
        <w:r>
          <w:rPr>
            <w:rStyle w:val="Hyperlink"/>
          </w:rPr>
          <w:t xml:space="preserve"> </w:t>
        </w:r>
        <w:r>
          <w:rPr>
            <w:rStyle w:val="Hyperlink"/>
          </w:rPr>
          <w:t xml:space="preserve">(</w:t>
        </w:r>
        <w:r>
          <w:rPr>
            <w:rStyle w:val="Hyperlink"/>
          </w:rPr>
          <w:t xml:space="preserve">Tsuga</w:t>
        </w:r>
        <w:r>
          <w:rPr>
            <w:rStyle w:val="Hyperlink"/>
          </w:rPr>
          <w:t xml:space="preserve"> </w:t>
        </w:r>
        <w:r>
          <w:rPr>
            <w:rStyle w:val="Hyperlink"/>
          </w:rPr>
          <w:t xml:space="preserve">canadensis)</w:t>
        </w:r>
        <w:r>
          <w:rPr>
            <w:rStyle w:val="Hyperlink"/>
          </w:rPr>
          <w:t xml:space="preserve"> </w:t>
        </w:r>
        <w:r>
          <w:rPr>
            <w:rStyle w:val="Hyperlink"/>
          </w:rPr>
          <w:t xml:space="preserve">Forests</w:t>
        </w:r>
      </w:hyperlink>
      <w:r>
        <w:t xml:space="preserve">.</w:t>
      </w:r>
      <w:r>
        <w:t xml:space="preserve"> </w:t>
      </w:r>
      <w:r>
        <w:rPr>
          <w:iCs/>
          <w:i/>
        </w:rPr>
        <w:t xml:space="preserve">Insects</w:t>
      </w:r>
      <w:r>
        <w:t xml:space="preserve"> </w:t>
      </w:r>
      <w:r>
        <w:rPr>
          <w:bCs/>
          <w:b/>
        </w:rPr>
        <w:t xml:space="preserve">9</w:t>
      </w:r>
      <w:r>
        <w:t xml:space="preserve">: 172.</w:t>
      </w:r>
    </w:p>
    <w:bookmarkEnd w:id="85"/>
    <w:bookmarkStart w:id="86"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w:t>
      </w:r>
      <w:r>
        <w:t xml:space="preserve"> </w:t>
      </w:r>
      <w:r>
        <w:t xml:space="preserve">From</w:t>
      </w:r>
      <w:r>
        <w:t xml:space="preserve"> </w:t>
      </w:r>
      <w:r>
        <w:t xml:space="preserve">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86"/>
    <w:bookmarkStart w:id="88"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87">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w:t>
      </w:r>
      <w:r>
        <w:rPr>
          <w:bCs/>
          <w:b/>
        </w:rPr>
        <w:t xml:space="preserve">116</w:t>
      </w:r>
      <w:r>
        <w:t xml:space="preserve">: 17371–17376.</w:t>
      </w:r>
    </w:p>
    <w:bookmarkEnd w:id="88"/>
    <w:bookmarkStart w:id="90" w:name="ref-fischer_disturbances_2013"/>
    <w:p>
      <w:pPr>
        <w:pStyle w:val="Bibliography"/>
      </w:pPr>
      <w:r>
        <w:rPr>
          <w:bCs/>
          <w:b/>
          <w:bCs/>
          <w:b/>
        </w:rPr>
        <w:t xml:space="preserve">Fischer A</w:t>
      </w:r>
      <w:r>
        <w:rPr>
          <w:bCs/>
          <w:b/>
        </w:rPr>
        <w:t xml:space="preserve">,</w:t>
      </w:r>
      <w:r>
        <w:rPr>
          <w:bCs/>
          <w:b/>
        </w:rPr>
        <w:t xml:space="preserve"> </w:t>
      </w:r>
      <w:r>
        <w:rPr>
          <w:bCs/>
          <w:b/>
          <w:bCs/>
          <w:b/>
        </w:rPr>
        <w:t xml:space="preserve">Marshall P</w:t>
      </w:r>
      <w:r>
        <w:rPr>
          <w:bCs/>
          <w:b/>
        </w:rPr>
        <w:t xml:space="preserve">,</w:t>
      </w:r>
      <w:r>
        <w:rPr>
          <w:bCs/>
          <w:b/>
        </w:rPr>
        <w:t xml:space="preserve"> </w:t>
      </w:r>
      <w:r>
        <w:rPr>
          <w:bCs/>
          <w:b/>
          <w:bCs/>
          <w:b/>
        </w:rPr>
        <w:t xml:space="preserve">Camp A</w:t>
      </w:r>
      <w:r>
        <w:t xml:space="preserve">.</w:t>
      </w:r>
      <w:r>
        <w:t xml:space="preserve"> </w:t>
      </w:r>
      <w:r>
        <w:rPr>
          <w:bCs/>
          <w:b/>
        </w:rPr>
        <w:t xml:space="preserve">2013</w:t>
      </w:r>
      <w:r>
        <w:t xml:space="preserve">.</w:t>
      </w:r>
      <w:r>
        <w:t xml:space="preserve"> </w:t>
      </w:r>
      <w:hyperlink r:id="rId89">
        <w:r>
          <w:rPr>
            <w:rStyle w:val="Hyperlink"/>
          </w:rPr>
          <w:t xml:space="preserve">Disturbances in deciduous temperate forest ecosystems of the northern hemisphere: Their effects on both recent and future forest development</w:t>
        </w:r>
      </w:hyperlink>
      <w:r>
        <w:t xml:space="preserve">.</w:t>
      </w:r>
      <w:r>
        <w:t xml:space="preserve"> </w:t>
      </w:r>
      <w:r>
        <w:rPr>
          <w:iCs/>
          <w:i/>
        </w:rPr>
        <w:t xml:space="preserve">Biodiversity and Conservation</w:t>
      </w:r>
      <w:r>
        <w:t xml:space="preserve"> </w:t>
      </w:r>
      <w:r>
        <w:rPr>
          <w:bCs/>
          <w:b/>
        </w:rPr>
        <w:t xml:space="preserve">22</w:t>
      </w:r>
      <w:r>
        <w:t xml:space="preserve">: 1863–1893.</w:t>
      </w:r>
    </w:p>
    <w:bookmarkEnd w:id="90"/>
    <w:bookmarkStart w:id="92" w:name="ref-gonzalez-akre_patterns_2016"/>
    <w:p>
      <w:pPr>
        <w:pStyle w:val="Bibliography"/>
      </w:pPr>
      <w:r>
        <w:rPr>
          <w:bCs/>
          <w:b/>
          <w:bCs/>
          <w:b/>
        </w:rPr>
        <w:t xml:space="preserve">Gonzalez-Akre E</w:t>
      </w:r>
      <w:r>
        <w:rPr>
          <w:bCs/>
          <w:b/>
        </w:rPr>
        <w:t xml:space="preserve">,</w:t>
      </w:r>
      <w:r>
        <w:rPr>
          <w:bCs/>
          <w:b/>
        </w:rPr>
        <w:t xml:space="preserve"> </w:t>
      </w:r>
      <w:r>
        <w:rPr>
          <w:bCs/>
          <w:b/>
          <w:bCs/>
          <w:b/>
        </w:rPr>
        <w:t xml:space="preserve">Meakem V</w:t>
      </w:r>
      <w:r>
        <w:rPr>
          <w:bCs/>
          <w:b/>
        </w:rPr>
        <w:t xml:space="preserve">,</w:t>
      </w:r>
      <w:r>
        <w:rPr>
          <w:bCs/>
          <w:b/>
        </w:rPr>
        <w:t xml:space="preserve"> </w:t>
      </w:r>
      <w:r>
        <w:rPr>
          <w:bCs/>
          <w:b/>
          <w:bCs/>
          <w:b/>
        </w:rPr>
        <w:t xml:space="preserve">Eng C-Y</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Anderson-Teixeira K</w:t>
      </w:r>
      <w:r>
        <w:t xml:space="preserve">.</w:t>
      </w:r>
      <w:r>
        <w:t xml:space="preserve"> </w:t>
      </w:r>
      <w:r>
        <w:rPr>
          <w:bCs/>
          <w:b/>
        </w:rPr>
        <w:t xml:space="preserve">2016</w:t>
      </w:r>
      <w:r>
        <w:t xml:space="preserve">.</w:t>
      </w:r>
      <w:r>
        <w:t xml:space="preserve"> </w:t>
      </w:r>
      <w:hyperlink r:id="rId91">
        <w:r>
          <w:rPr>
            <w:rStyle w:val="Hyperlink"/>
          </w:rPr>
          <w:t xml:space="preserve">Patterns of tree mortality in a temperate deciduous forest derived from a large forest dynamics plot</w:t>
        </w:r>
      </w:hyperlink>
      <w:r>
        <w:t xml:space="preserve">.</w:t>
      </w:r>
      <w:r>
        <w:t xml:space="preserve"> </w:t>
      </w:r>
      <w:r>
        <w:rPr>
          <w:iCs/>
          <w:i/>
        </w:rPr>
        <w:t xml:space="preserve">Ecosphere (Washington, D.C)</w:t>
      </w:r>
      <w:r>
        <w:t xml:space="preserve"> </w:t>
      </w:r>
      <w:r>
        <w:rPr>
          <w:bCs/>
          <w:b/>
        </w:rPr>
        <w:t xml:space="preserve">7</w:t>
      </w:r>
      <w:r>
        <w:t xml:space="preserve">: n/a–n/a.</w:t>
      </w:r>
    </w:p>
    <w:bookmarkEnd w:id="92"/>
    <w:bookmarkStart w:id="94" w:name="ref-gonzalez-akre_allodb_2022"/>
    <w:p>
      <w:pPr>
        <w:pStyle w:val="Bibliography"/>
      </w:pPr>
      <w:r>
        <w:rPr>
          <w:bCs/>
          <w:b/>
          <w:bCs/>
          <w:b/>
        </w:rPr>
        <w:t xml:space="preserve">Gonzalez-Akre E</w:t>
      </w:r>
      <w:r>
        <w:rPr>
          <w:bCs/>
          <w:b/>
        </w:rPr>
        <w:t xml:space="preserve">,</w:t>
      </w:r>
      <w:r>
        <w:rPr>
          <w:bCs/>
          <w:b/>
        </w:rPr>
        <w:t xml:space="preserve"> </w:t>
      </w:r>
      <w:r>
        <w:rPr>
          <w:bCs/>
          <w:b/>
          <w:bCs/>
          <w:b/>
        </w:rPr>
        <w:t xml:space="preserve">Piponiot C</w:t>
      </w:r>
      <w:r>
        <w:rPr>
          <w:bCs/>
          <w:b/>
        </w:rPr>
        <w:t xml:space="preserve">,</w:t>
      </w:r>
      <w:r>
        <w:rPr>
          <w:bCs/>
          <w:b/>
        </w:rPr>
        <w:t xml:space="preserve"> </w:t>
      </w:r>
      <w:r>
        <w:rPr>
          <w:bCs/>
          <w:b/>
          <w:bCs/>
          <w:b/>
        </w:rPr>
        <w:t xml:space="preserve">Lepore M</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Lutz JA</w:t>
      </w:r>
      <w:r>
        <w:rPr>
          <w:bCs/>
          <w:b/>
        </w:rPr>
        <w:t xml:space="preserve">,</w:t>
      </w:r>
      <w:r>
        <w:rPr>
          <w:bCs/>
          <w:b/>
        </w:rPr>
        <w:t xml:space="preserve"> </w:t>
      </w:r>
      <w:r>
        <w:rPr>
          <w:bCs/>
          <w:b/>
          <w:bCs/>
          <w:b/>
        </w:rPr>
        <w:t xml:space="preserve">Baltzer JL</w:t>
      </w:r>
      <w:r>
        <w:rPr>
          <w:bCs/>
          <w:b/>
        </w:rPr>
        <w:t xml:space="preserve">,</w:t>
      </w:r>
      <w:r>
        <w:rPr>
          <w:bCs/>
          <w:b/>
        </w:rPr>
        <w:t xml:space="preserve"> </w:t>
      </w:r>
      <w:r>
        <w:rPr>
          <w:bCs/>
          <w:b/>
          <w:bCs/>
          <w:b/>
        </w:rPr>
        <w:t xml:space="preserve">Dick CW</w:t>
      </w:r>
      <w:r>
        <w:rPr>
          <w:bCs/>
          <w:b/>
        </w:rPr>
        <w:t xml:space="preserve">,</w:t>
      </w:r>
      <w:r>
        <w:rPr>
          <w:bCs/>
          <w:b/>
        </w:rPr>
        <w:t xml:space="preserve"> </w:t>
      </w:r>
      <w:r>
        <w:rPr>
          <w:bCs/>
          <w:b/>
          <w:bCs/>
          <w:b/>
        </w:rPr>
        <w:t xml:space="preserve">Gilbert GS</w:t>
      </w:r>
      <w:r>
        <w:rPr>
          <w:bCs/>
          <w:b/>
        </w:rPr>
        <w:t xml:space="preserve">,</w:t>
      </w:r>
      <w:r>
        <w:rPr>
          <w:bCs/>
          <w:b/>
        </w:rPr>
        <w:t xml:space="preserve"> </w:t>
      </w:r>
      <w:r>
        <w:rPr>
          <w:bCs/>
          <w:b/>
          <w:bCs/>
          <w:b/>
        </w:rPr>
        <w:t xml:space="preserve">He F</w:t>
      </w:r>
      <w:r>
        <w:rPr>
          <w:bCs/>
          <w:b/>
        </w:rPr>
        <w:t xml:space="preserve">,</w:t>
      </w:r>
      <w:r>
        <w:rPr>
          <w:bCs/>
          <w:b/>
        </w:rPr>
        <w:t xml:space="preserve"> </w:t>
      </w:r>
      <w:r>
        <w:rPr>
          <w:bCs/>
          <w:b/>
          <w:bCs/>
          <w:b/>
        </w:rPr>
        <w:t xml:space="preserve">Heym M</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93">
        <w:r>
          <w:rPr>
            <w:rStyle w:val="Hyperlink"/>
          </w:rPr>
          <w:t xml:space="preserve">Allodb:</w:t>
        </w:r>
        <w:r>
          <w:rPr>
            <w:rStyle w:val="Hyperlink"/>
          </w:rPr>
          <w:t xml:space="preserve"> </w:t>
        </w:r>
        <w:r>
          <w:rPr>
            <w:rStyle w:val="Hyperlink"/>
          </w:rPr>
          <w:t xml:space="preserve">An R</w:t>
        </w:r>
        <w:r>
          <w:rPr>
            <w:rStyle w:val="Hyperlink"/>
          </w:rPr>
          <w:t xml:space="preserve"> </w:t>
        </w:r>
        <w:r>
          <w:rPr>
            <w:rStyle w:val="Hyperlink"/>
          </w:rPr>
          <w:t xml:space="preserve">package for biomass estimation at globally distributed extratropical forest plots</w:t>
        </w:r>
      </w:hyperlink>
      <w:r>
        <w:t xml:space="preserve">.</w:t>
      </w:r>
      <w:r>
        <w:t xml:space="preserve"> </w:t>
      </w:r>
      <w:r>
        <w:rPr>
          <w:iCs/>
          <w:i/>
        </w:rPr>
        <w:t xml:space="preserve">Methods in Ecology and Evolution</w:t>
      </w:r>
      <w:r>
        <w:t xml:space="preserve"> </w:t>
      </w:r>
      <w:r>
        <w:rPr>
          <w:bCs/>
          <w:b/>
        </w:rPr>
        <w:t xml:space="preserve">13</w:t>
      </w:r>
      <w:r>
        <w:t xml:space="preserve">: 330–338.</w:t>
      </w:r>
    </w:p>
    <w:bookmarkEnd w:id="94"/>
    <w:bookmarkStart w:id="96"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5">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96"/>
    <w:bookmarkStart w:id="98"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de Bruin S</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7">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98"/>
    <w:bookmarkStart w:id="100" w:name="ref-herms_emerald_2014"/>
    <w:p>
      <w:pPr>
        <w:pStyle w:val="Bibliography"/>
      </w:pPr>
      <w:r>
        <w:rPr>
          <w:bCs/>
          <w:b/>
          <w:bCs/>
          <w:b/>
        </w:rPr>
        <w:t xml:space="preserve">Herms DA</w:t>
      </w:r>
      <w:r>
        <w:rPr>
          <w:bCs/>
          <w:b/>
        </w:rPr>
        <w:t xml:space="preserve">,</w:t>
      </w:r>
      <w:r>
        <w:rPr>
          <w:bCs/>
          <w:b/>
        </w:rPr>
        <w:t xml:space="preserve"> </w:t>
      </w:r>
      <w:r>
        <w:rPr>
          <w:bCs/>
          <w:b/>
          <w:bCs/>
          <w:b/>
        </w:rPr>
        <w:t xml:space="preserve">McCullough DG</w:t>
      </w:r>
      <w:r>
        <w:t xml:space="preserve">.</w:t>
      </w:r>
      <w:r>
        <w:t xml:space="preserve"> </w:t>
      </w:r>
      <w:r>
        <w:rPr>
          <w:bCs/>
          <w:b/>
        </w:rPr>
        <w:t xml:space="preserve">2014</w:t>
      </w:r>
      <w:r>
        <w:t xml:space="preserve">.</w:t>
      </w:r>
      <w:r>
        <w:t xml:space="preserve"> </w:t>
      </w:r>
      <w:hyperlink r:id="rId99">
        <w:r>
          <w:rPr>
            <w:rStyle w:val="Hyperlink"/>
          </w:rPr>
          <w:t xml:space="preserve">Emerald ash borer invasion of</w:t>
        </w:r>
        <w:r>
          <w:rPr>
            <w:rStyle w:val="Hyperlink"/>
          </w:rPr>
          <w:t xml:space="preserve"> </w:t>
        </w:r>
        <w:r>
          <w:rPr>
            <w:rStyle w:val="Hyperlink"/>
          </w:rPr>
          <w:t xml:space="preserve">North America</w:t>
        </w:r>
        <w:r>
          <w:rPr>
            <w:rStyle w:val="Hyperlink"/>
          </w:rPr>
          <w:t xml:space="preserve">: History, biology, ecology, impacts, and management</w:t>
        </w:r>
      </w:hyperlink>
      <w:r>
        <w:t xml:space="preserve">.</w:t>
      </w:r>
      <w:r>
        <w:t xml:space="preserve"> </w:t>
      </w:r>
      <w:r>
        <w:rPr>
          <w:iCs/>
          <w:i/>
        </w:rPr>
        <w:t xml:space="preserve">Annual Review of Entomology</w:t>
      </w:r>
      <w:r>
        <w:t xml:space="preserve"> </w:t>
      </w:r>
      <w:r>
        <w:rPr>
          <w:bCs/>
          <w:b/>
        </w:rPr>
        <w:t xml:space="preserve">59</w:t>
      </w:r>
      <w:r>
        <w:t xml:space="preserve">: 13–30.</w:t>
      </w:r>
    </w:p>
    <w:bookmarkEnd w:id="100"/>
    <w:bookmarkStart w:id="102"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101">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102"/>
    <w:bookmarkStart w:id="104" w:name="ref-kim_implementing_2022"/>
    <w:p>
      <w:pPr>
        <w:pStyle w:val="Bibliography"/>
      </w:pPr>
      <w:r>
        <w:rPr>
          <w:bCs/>
          <w:b/>
          <w:bCs/>
          <w:b/>
        </w:rPr>
        <w:t xml:space="preserve">Kim AY</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Barreto R</w:t>
      </w:r>
      <w:r>
        <w:rPr>
          <w:bCs/>
          <w:b/>
        </w:rPr>
        <w:t xml:space="preserve">,</w:t>
      </w:r>
      <w:r>
        <w:rPr>
          <w:bCs/>
          <w:b/>
        </w:rPr>
        <w:t xml:space="preserve"> </w:t>
      </w:r>
      <w:r>
        <w:rPr>
          <w:bCs/>
          <w:b/>
          <w:bCs/>
          <w:b/>
        </w:rPr>
        <w:t xml:space="preserve">Calkins B</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Johnson DJ</w:t>
      </w:r>
      <w:r>
        <w:rPr>
          <w:bCs/>
          <w:b/>
        </w:rPr>
        <w:t xml:space="preserve">,</w:t>
      </w:r>
      <w:r>
        <w:rPr>
          <w:bCs/>
          <w:b/>
        </w:rPr>
        <w:t xml:space="preserve"> </w:t>
      </w:r>
      <w:r>
        <w:rPr>
          <w:bCs/>
          <w:b/>
          <w:bCs/>
          <w:b/>
        </w:rPr>
        <w:t xml:space="preserve">Jordan JA</w:t>
      </w:r>
      <w:r>
        <w:rPr>
          <w:bCs/>
          <w:b/>
        </w:rPr>
        <w:t xml:space="preserve">,</w:t>
      </w:r>
      <w:r>
        <w:rPr>
          <w:bCs/>
          <w:b/>
        </w:rPr>
        <w:t xml:space="preserve"> </w:t>
      </w:r>
      <w:r>
        <w:rPr>
          <w:bCs/>
          <w:b/>
          <w:bCs/>
          <w:b/>
        </w:rPr>
        <w:t xml:space="preserve">Magee L</w:t>
      </w:r>
      <w:r>
        <w:rPr>
          <w:bCs/>
          <w:b/>
        </w:rPr>
        <w:t xml:space="preserve">,</w:t>
      </w:r>
      <w:r>
        <w:rPr>
          <w:bCs/>
          <w:b/>
        </w:rPr>
        <w:t xml:space="preserve"> </w:t>
      </w:r>
      <w:r>
        <w:rPr>
          <w:bCs/>
          <w:b/>
          <w:bCs/>
          <w:b/>
        </w:rPr>
        <w:t xml:space="preserve">McGregor IR</w:t>
      </w:r>
      <w:r>
        <w:rPr>
          <w:bCs/>
          <w:b/>
        </w:rPr>
        <w:t xml:space="preserve">,</w:t>
      </w:r>
      <w:r>
        <w:rPr>
          <w:bCs/>
          <w:b/>
        </w:rPr>
        <w:t xml:space="preserve"> </w:t>
      </w:r>
      <w:r>
        <w:rPr>
          <w:bCs/>
          <w:b/>
          <w:bCs/>
          <w:b/>
        </w:rPr>
        <w:t xml:space="preserve">Montero N</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3">
        <w:r>
          <w:rPr>
            <w:rStyle w:val="Hyperlink"/>
          </w:rPr>
          <w:t xml:space="preserve">Implementing</w:t>
        </w:r>
        <w:r>
          <w:rPr>
            <w:rStyle w:val="Hyperlink"/>
          </w:rPr>
          <w:t xml:space="preserve"> </w:t>
        </w:r>
        <w:r>
          <w:rPr>
            <w:rStyle w:val="Hyperlink"/>
          </w:rPr>
          <w:t xml:space="preserve">GitHub Actions</w:t>
        </w:r>
        <w:r>
          <w:rPr>
            <w:rStyle w:val="Hyperlink"/>
          </w:rPr>
          <w:t xml:space="preserve"> </w:t>
        </w:r>
        <w:r>
          <w:rPr>
            <w:rStyle w:val="Hyperlink"/>
          </w:rPr>
          <w:t xml:space="preserve">continuous integration to reduce error rates in ecological data collection</w:t>
        </w:r>
      </w:hyperlink>
      <w:r>
        <w:t xml:space="preserve">.</w:t>
      </w:r>
      <w:r>
        <w:t xml:space="preserve"> </w:t>
      </w:r>
      <w:r>
        <w:rPr>
          <w:iCs/>
          <w:i/>
        </w:rPr>
        <w:t xml:space="preserve">Methods in Ecology and Evolution</w:t>
      </w:r>
      <w:r>
        <w:t xml:space="preserve"> </w:t>
      </w:r>
      <w:r>
        <w:rPr>
          <w:bCs/>
          <w:b/>
        </w:rPr>
        <w:t xml:space="preserve">13</w:t>
      </w:r>
      <w:r>
        <w:t xml:space="preserve">: 2572–2585.</w:t>
      </w:r>
    </w:p>
    <w:bookmarkEnd w:id="104"/>
    <w:bookmarkStart w:id="106" w:name="ref-klooster_ash_2014"/>
    <w:p>
      <w:pPr>
        <w:pStyle w:val="Bibliography"/>
      </w:pPr>
      <w:r>
        <w:rPr>
          <w:bCs/>
          <w:b/>
          <w:bCs/>
          <w:b/>
        </w:rPr>
        <w:t xml:space="preserve">Klooster WS</w:t>
      </w:r>
      <w:r>
        <w:rPr>
          <w:bCs/>
          <w:b/>
        </w:rPr>
        <w:t xml:space="preserve">,</w:t>
      </w:r>
      <w:r>
        <w:rPr>
          <w:bCs/>
          <w:b/>
        </w:rPr>
        <w:t xml:space="preserve"> </w:t>
      </w:r>
      <w:r>
        <w:rPr>
          <w:bCs/>
          <w:b/>
          <w:bCs/>
          <w:b/>
        </w:rPr>
        <w:t xml:space="preserve">Herms DA</w:t>
      </w:r>
      <w:r>
        <w:rPr>
          <w:bCs/>
          <w:b/>
        </w:rPr>
        <w:t xml:space="preserve">,</w:t>
      </w:r>
      <w:r>
        <w:rPr>
          <w:bCs/>
          <w:b/>
        </w:rPr>
        <w:t xml:space="preserve"> </w:t>
      </w:r>
      <w:r>
        <w:rPr>
          <w:bCs/>
          <w:b/>
          <w:bCs/>
          <w:b/>
        </w:rPr>
        <w:t xml:space="preserve">Knight KS</w:t>
      </w:r>
      <w:r>
        <w:rPr>
          <w:bCs/>
          <w:b/>
        </w:rPr>
        <w:t xml:space="preserve">,</w:t>
      </w:r>
      <w:r>
        <w:rPr>
          <w:bCs/>
          <w:b/>
        </w:rPr>
        <w:t xml:space="preserve"> </w:t>
      </w:r>
      <w:r>
        <w:rPr>
          <w:bCs/>
          <w:b/>
          <w:bCs/>
          <w:b/>
        </w:rPr>
        <w:t xml:space="preserve">Herms CP</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Smith A</w:t>
      </w:r>
      <w:r>
        <w:rPr>
          <w:bCs/>
          <w:b/>
        </w:rPr>
        <w:t xml:space="preserve">,</w:t>
      </w:r>
      <w:r>
        <w:rPr>
          <w:bCs/>
          <w:b/>
        </w:rPr>
        <w:t xml:space="preserve"> </w:t>
      </w:r>
      <w:r>
        <w:rPr>
          <w:bCs/>
          <w:b/>
          <w:bCs/>
          <w:b/>
        </w:rPr>
        <w:t xml:space="preserve">Gandhi KJK</w:t>
      </w:r>
      <w:r>
        <w:rPr>
          <w:bCs/>
          <w:b/>
        </w:rPr>
        <w:t xml:space="preserve">,</w:t>
      </w:r>
      <w:r>
        <w:rPr>
          <w:bCs/>
          <w:b/>
        </w:rPr>
        <w:t xml:space="preserve"> </w:t>
      </w:r>
      <w:r>
        <w:rPr>
          <w:bCs/>
          <w:b/>
          <w:bCs/>
          <w:b/>
        </w:rPr>
        <w:t xml:space="preserve">Cardina J</w:t>
      </w:r>
      <w:r>
        <w:t xml:space="preserve">.</w:t>
      </w:r>
      <w:r>
        <w:t xml:space="preserve"> </w:t>
      </w:r>
      <w:r>
        <w:rPr>
          <w:bCs/>
          <w:b/>
        </w:rPr>
        <w:t xml:space="preserve">2014</w:t>
      </w:r>
      <w:r>
        <w:t xml:space="preserve">.</w:t>
      </w:r>
      <w:r>
        <w:t xml:space="preserve"> </w:t>
      </w:r>
      <w:hyperlink r:id="rId105">
        <w:r>
          <w:rPr>
            <w:rStyle w:val="Hyperlink"/>
          </w:rPr>
          <w:t xml:space="preserve">Ash (</w:t>
        </w:r>
        <w:r>
          <w:rPr>
            <w:rStyle w:val="Hyperlink"/>
          </w:rPr>
          <w:t xml:space="preserve">Fraxinus</w:t>
        </w:r>
        <w:r>
          <w:rPr>
            <w:rStyle w:val="Hyperlink"/>
          </w:rPr>
          <w:t xml:space="preserve"> </w:t>
        </w:r>
        <w:r>
          <w:rPr>
            <w:rStyle w:val="Hyperlink"/>
          </w:rPr>
          <w:t xml:space="preserve">spp.) Mortality, regeneration, and seed bank dynamics in mixed hardwood forests following invasion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16</w:t>
      </w:r>
      <w:r>
        <w:t xml:space="preserve">: 859–873.</w:t>
      </w:r>
    </w:p>
    <w:bookmarkEnd w:id="106"/>
    <w:bookmarkStart w:id="108" w:name="ref-lovett_nonnative_2016"/>
    <w:p>
      <w:pPr>
        <w:pStyle w:val="Bibliography"/>
      </w:pPr>
      <w:r>
        <w:rPr>
          <w:bCs/>
          <w:b/>
          <w:bCs/>
          <w:b/>
        </w:rPr>
        <w:t xml:space="preserve">Lovett GM</w:t>
      </w:r>
      <w:r>
        <w:rPr>
          <w:bCs/>
          <w:b/>
        </w:rPr>
        <w:t xml:space="preserve">,</w:t>
      </w:r>
      <w:r>
        <w:rPr>
          <w:bCs/>
          <w:b/>
        </w:rPr>
        <w:t xml:space="preserve"> </w:t>
      </w:r>
      <w:r>
        <w:rPr>
          <w:bCs/>
          <w:b/>
          <w:bCs/>
          <w:b/>
        </w:rPr>
        <w:t xml:space="preserve">Weiss M</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Leung B</w:t>
      </w:r>
      <w:r>
        <w:rPr>
          <w:bCs/>
          <w:b/>
        </w:rPr>
        <w:t xml:space="preserve">,</w:t>
      </w:r>
      <w:r>
        <w:rPr>
          <w:bCs/>
          <w:b/>
        </w:rPr>
        <w:t xml:space="preserve"> </w:t>
      </w:r>
      <w:r>
        <w:rPr>
          <w:bCs/>
          <w:b/>
          <w:bCs/>
          <w:b/>
        </w:rPr>
        <w:t xml:space="preserve">Lambert KF</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Campbell FT</w:t>
      </w:r>
      <w:r>
        <w:rPr>
          <w:bCs/>
          <w:b/>
        </w:rPr>
        <w:t xml:space="preserve">,</w:t>
      </w:r>
      <w:r>
        <w:rPr>
          <w:bCs/>
          <w:b/>
        </w:rPr>
        <w:t xml:space="preserve"> </w:t>
      </w:r>
      <w:r>
        <w:rPr>
          <w:bCs/>
          <w:b/>
          <w:bCs/>
          <w:b/>
        </w:rPr>
        <w:t xml:space="preserve">Rosenthal J</w:t>
      </w:r>
      <w:r>
        <w:rPr>
          <w:bCs/>
          <w:b/>
        </w:rPr>
        <w:t xml:space="preserve">,</w:t>
      </w:r>
      <w:r>
        <w:rPr>
          <w:bCs/>
          <w:b/>
        </w:rPr>
        <w:t xml:space="preserve"> </w:t>
      </w:r>
      <w:r>
        <w:rPr>
          <w:bCs/>
          <w:b/>
          <w:bCs/>
          <w:b/>
        </w:rPr>
        <w:t xml:space="preserve">McCullough DG</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107">
        <w:r>
          <w:rPr>
            <w:rStyle w:val="Hyperlink"/>
          </w:rPr>
          <w:t xml:space="preserve">Nonnative forest insects and pathogens 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Impacts</w:t>
        </w:r>
        <w:r>
          <w:rPr>
            <w:rStyle w:val="Hyperlink"/>
          </w:rPr>
          <w:t xml:space="preserve"> </w:t>
        </w:r>
        <w:r>
          <w:rPr>
            <w:rStyle w:val="Hyperlink"/>
          </w:rPr>
          <w:t xml:space="preserve">and policy options</w:t>
        </w:r>
      </w:hyperlink>
      <w:r>
        <w:t xml:space="preserve">.</w:t>
      </w:r>
      <w:r>
        <w:t xml:space="preserve"> </w:t>
      </w:r>
      <w:r>
        <w:rPr>
          <w:iCs/>
          <w:i/>
        </w:rPr>
        <w:t xml:space="preserve">Ecological Applications</w:t>
      </w:r>
      <w:r>
        <w:t xml:space="preserve"> </w:t>
      </w:r>
      <w:r>
        <w:rPr>
          <w:bCs/>
          <w:b/>
        </w:rPr>
        <w:t xml:space="preserve">26</w:t>
      </w:r>
      <w:r>
        <w:t xml:space="preserve">: 1437–1455.</w:t>
      </w:r>
    </w:p>
    <w:bookmarkEnd w:id="108"/>
    <w:bookmarkStart w:id="110"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09">
        <w:r>
          <w:rPr>
            <w:rStyle w:val="Hyperlink"/>
          </w:rPr>
          <w:t xml:space="preserve">Pervasive shifts in forest dynamics in a changing world</w:t>
        </w:r>
      </w:hyperlink>
      <w:r>
        <w:t xml:space="preserve">.</w:t>
      </w:r>
      <w:r>
        <w:t xml:space="preserve"> </w:t>
      </w:r>
      <w:r>
        <w:rPr>
          <w:iCs/>
          <w:i/>
        </w:rPr>
        <w:t xml:space="preserve">Science (New York, N.Y.)</w:t>
      </w:r>
      <w:r>
        <w:t xml:space="preserve"> </w:t>
      </w:r>
      <w:r>
        <w:rPr>
          <w:bCs/>
          <w:b/>
        </w:rPr>
        <w:t xml:space="preserve">368</w:t>
      </w:r>
      <w:r>
        <w:t xml:space="preserve">.</w:t>
      </w:r>
    </w:p>
    <w:bookmarkEnd w:id="110"/>
    <w:bookmarkStart w:id="112" w:name="ref-mcgarvey_effects_2013a"/>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111">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112"/>
    <w:bookmarkStart w:id="113" w:name="ref-mcshea_science_2003"/>
    <w:p>
      <w:pPr>
        <w:pStyle w:val="Bibliography"/>
      </w:pPr>
      <w:r>
        <w:rPr>
          <w:bCs/>
          <w:b/>
          <w:bCs/>
          <w:b/>
        </w:rPr>
        <w:t xml:space="preserve">McShea WJ</w:t>
      </w:r>
      <w:r>
        <w:rPr>
          <w:bCs/>
          <w:b/>
        </w:rPr>
        <w:t xml:space="preserve">,</w:t>
      </w:r>
      <w:r>
        <w:rPr>
          <w:bCs/>
          <w:b/>
        </w:rPr>
        <w:t xml:space="preserve"> </w:t>
      </w:r>
      <w:r>
        <w:rPr>
          <w:bCs/>
          <w:b/>
          <w:bCs/>
          <w:b/>
        </w:rPr>
        <w:t xml:space="preserve">Underwood HB</w:t>
      </w:r>
      <w:r>
        <w:rPr>
          <w:bCs/>
          <w:b/>
        </w:rPr>
        <w:t xml:space="preserve">,</w:t>
      </w:r>
      <w:r>
        <w:rPr>
          <w:bCs/>
          <w:b/>
        </w:rPr>
        <w:t xml:space="preserve"> </w:t>
      </w:r>
      <w:r>
        <w:rPr>
          <w:bCs/>
          <w:b/>
          <w:bCs/>
          <w:b/>
        </w:rPr>
        <w:t xml:space="preserve">Rappole JH</w:t>
      </w:r>
      <w:r>
        <w:t xml:space="preserve">.</w:t>
      </w:r>
      <w:r>
        <w:t xml:space="preserve"> </w:t>
      </w:r>
      <w:r>
        <w:rPr>
          <w:bCs/>
          <w:b/>
        </w:rPr>
        <w:t xml:space="preserve">2003</w:t>
      </w:r>
      <w:r>
        <w:t xml:space="preserve">.</w:t>
      </w:r>
      <w:r>
        <w:t xml:space="preserve"> </w:t>
      </w:r>
      <w:r>
        <w:rPr>
          <w:iCs/>
          <w:i/>
        </w:rPr>
        <w:t xml:space="preserve">The</w:t>
      </w:r>
      <w:r>
        <w:rPr>
          <w:iCs/>
          <w:i/>
        </w:rPr>
        <w:t xml:space="preserve"> </w:t>
      </w:r>
      <w:r>
        <w:rPr>
          <w:iCs/>
          <w:i/>
        </w:rPr>
        <w:t xml:space="preserve">Science</w:t>
      </w:r>
      <w:r>
        <w:rPr>
          <w:iCs/>
          <w:i/>
        </w:rPr>
        <w:t xml:space="preserve"> </w:t>
      </w:r>
      <w:r>
        <w:rPr>
          <w:iCs/>
          <w:i/>
        </w:rPr>
        <w:t xml:space="preserve">of</w:t>
      </w:r>
      <w:r>
        <w:rPr>
          <w:iCs/>
          <w:i/>
        </w:rPr>
        <w:t xml:space="preserve"> </w:t>
      </w:r>
      <w:r>
        <w:rPr>
          <w:iCs/>
          <w:i/>
        </w:rPr>
        <w:t xml:space="preserve">Overabundance</w:t>
      </w:r>
      <w:r>
        <w:rPr>
          <w:iCs/>
          <w:i/>
        </w:rPr>
        <w:t xml:space="preserve">:</w:t>
      </w:r>
      <w:r>
        <w:rPr>
          <w:iCs/>
          <w:i/>
        </w:rPr>
        <w:t xml:space="preserve"> </w:t>
      </w:r>
      <w:r>
        <w:rPr>
          <w:iCs/>
          <w:i/>
        </w:rPr>
        <w:t xml:space="preserve">Deer Ecology</w:t>
      </w:r>
      <w:r>
        <w:rPr>
          <w:iCs/>
          <w:i/>
        </w:rPr>
        <w:t xml:space="preserve"> </w:t>
      </w:r>
      <w:r>
        <w:rPr>
          <w:iCs/>
          <w:i/>
        </w:rPr>
        <w:t xml:space="preserve">and</w:t>
      </w:r>
      <w:r>
        <w:rPr>
          <w:iCs/>
          <w:i/>
        </w:rPr>
        <w:t xml:space="preserve"> </w:t>
      </w:r>
      <w:r>
        <w:rPr>
          <w:iCs/>
          <w:i/>
        </w:rPr>
        <w:t xml:space="preserve">Population Management</w:t>
      </w:r>
      <w:r>
        <w:t xml:space="preserve">. Smithsonian.</w:t>
      </w:r>
    </w:p>
    <w:bookmarkEnd w:id="113"/>
    <w:bookmarkStart w:id="115"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114">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115"/>
    <w:bookmarkStart w:id="117"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116">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117"/>
    <w:bookmarkStart w:id="119" w:name="ref-murphy_invasive_2014"/>
    <w:p>
      <w:pPr>
        <w:pStyle w:val="Bibliography"/>
      </w:pPr>
      <w:r>
        <w:rPr>
          <w:bCs/>
          <w:b/>
          <w:bCs/>
          <w:b/>
        </w:rPr>
        <w:t xml:space="preserve">Murphy MJ</w:t>
      </w:r>
      <w:r>
        <w:rPr>
          <w:bCs/>
          <w:b/>
        </w:rPr>
        <w:t xml:space="preserve">,</w:t>
      </w:r>
      <w:r>
        <w:rPr>
          <w:bCs/>
          <w:b/>
        </w:rPr>
        <w:t xml:space="preserve"> </w:t>
      </w:r>
      <w:r>
        <w:rPr>
          <w:bCs/>
          <w:b/>
          <w:bCs/>
          <w:b/>
        </w:rPr>
        <w:t xml:space="preserve">Inman-Narahari F</w:t>
      </w:r>
      <w:r>
        <w:rPr>
          <w:bCs/>
          <w:b/>
        </w:rPr>
        <w:t xml:space="preserve">,</w:t>
      </w:r>
      <w:r>
        <w:rPr>
          <w:bCs/>
          <w:b/>
        </w:rPr>
        <w:t xml:space="preserve"> </w:t>
      </w:r>
      <w:r>
        <w:rPr>
          <w:bCs/>
          <w:b/>
          <w:bCs/>
          <w:b/>
        </w:rPr>
        <w:t xml:space="preserve">Ostertag R</w:t>
      </w:r>
      <w:r>
        <w:rPr>
          <w:bCs/>
          <w:b/>
        </w:rPr>
        <w:t xml:space="preserve">,</w:t>
      </w:r>
      <w:r>
        <w:rPr>
          <w:bCs/>
          <w:b/>
        </w:rPr>
        <w:t xml:space="preserve"> </w:t>
      </w:r>
      <w:r>
        <w:rPr>
          <w:bCs/>
          <w:b/>
          <w:bCs/>
          <w:b/>
        </w:rPr>
        <w:t xml:space="preserve">Litton CM</w:t>
      </w:r>
      <w:r>
        <w:t xml:space="preserve">.</w:t>
      </w:r>
      <w:r>
        <w:t xml:space="preserve"> </w:t>
      </w:r>
      <w:r>
        <w:rPr>
          <w:bCs/>
          <w:b/>
        </w:rPr>
        <w:t xml:space="preserve">2014</w:t>
      </w:r>
      <w:r>
        <w:t xml:space="preserve">.</w:t>
      </w:r>
      <w:r>
        <w:t xml:space="preserve"> </w:t>
      </w:r>
      <w:hyperlink r:id="rId118">
        <w:r>
          <w:rPr>
            <w:rStyle w:val="Hyperlink"/>
          </w:rPr>
          <w:t xml:space="preserve">Invasive feral pigs impact native tree ferns and woody seedlings in</w:t>
        </w:r>
        <w:r>
          <w:rPr>
            <w:rStyle w:val="Hyperlink"/>
          </w:rPr>
          <w:t xml:space="preserve"> </w:t>
        </w:r>
        <w:r>
          <w:rPr>
            <w:rStyle w:val="Hyperlink"/>
          </w:rPr>
          <w:t xml:space="preserve">Hawaiian</w:t>
        </w:r>
        <w:r>
          <w:rPr>
            <w:rStyle w:val="Hyperlink"/>
          </w:rPr>
          <w:t xml:space="preserve"> </w:t>
        </w:r>
        <w:r>
          <w:rPr>
            <w:rStyle w:val="Hyperlink"/>
          </w:rPr>
          <w:t xml:space="preserve">forest</w:t>
        </w:r>
      </w:hyperlink>
      <w:r>
        <w:t xml:space="preserve">.</w:t>
      </w:r>
      <w:r>
        <w:t xml:space="preserve"> </w:t>
      </w:r>
      <w:r>
        <w:rPr>
          <w:iCs/>
          <w:i/>
        </w:rPr>
        <w:t xml:space="preserve">Biological Invasions</w:t>
      </w:r>
      <w:r>
        <w:t xml:space="preserve"> </w:t>
      </w:r>
      <w:r>
        <w:rPr>
          <w:bCs/>
          <w:b/>
        </w:rPr>
        <w:t xml:space="preserve">16</w:t>
      </w:r>
      <w:r>
        <w:t xml:space="preserve">: 63–71.</w:t>
      </w:r>
    </w:p>
    <w:bookmarkEnd w:id="119"/>
    <w:bookmarkStart w:id="121"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120">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121"/>
    <w:bookmarkStart w:id="123" w:name="ref-nunez_population_2010"/>
    <w:p>
      <w:pPr>
        <w:pStyle w:val="Bibliography"/>
      </w:pPr>
      <w:r>
        <w:rPr>
          <w:bCs/>
          <w:b/>
          <w:bCs/>
          <w:b/>
        </w:rPr>
        <w:t xml:space="preserve">Nuñez MA</w:t>
      </w:r>
      <w:r>
        <w:rPr>
          <w:bCs/>
          <w:b/>
        </w:rPr>
        <w:t xml:space="preserve">,</w:t>
      </w:r>
      <w:r>
        <w:rPr>
          <w:bCs/>
          <w:b/>
        </w:rPr>
        <w:t xml:space="preserve"> </w:t>
      </w:r>
      <w:r>
        <w:rPr>
          <w:bCs/>
          <w:b/>
          <w:bCs/>
          <w:b/>
        </w:rPr>
        <w:t xml:space="preserve">Bailey JK</w:t>
      </w:r>
      <w:r>
        <w:rPr>
          <w:bCs/>
          <w:b/>
        </w:rPr>
        <w:t xml:space="preserve">,</w:t>
      </w:r>
      <w:r>
        <w:rPr>
          <w:bCs/>
          <w:b/>
        </w:rPr>
        <w:t xml:space="preserve"> </w:t>
      </w:r>
      <w:r>
        <w:rPr>
          <w:bCs/>
          <w:b/>
          <w:bCs/>
          <w:b/>
        </w:rPr>
        <w:t xml:space="preserve">Schweitzer JA</w:t>
      </w:r>
      <w:r>
        <w:t xml:space="preserve">.</w:t>
      </w:r>
      <w:r>
        <w:t xml:space="preserve"> </w:t>
      </w:r>
      <w:r>
        <w:rPr>
          <w:bCs/>
          <w:b/>
        </w:rPr>
        <w:t xml:space="preserve">2010</w:t>
      </w:r>
      <w:r>
        <w:t xml:space="preserve">.</w:t>
      </w:r>
      <w:r>
        <w:t xml:space="preserve"> </w:t>
      </w:r>
      <w:hyperlink r:id="rId122">
        <w:r>
          <w:rPr>
            <w:rStyle w:val="Hyperlink"/>
          </w:rPr>
          <w:t xml:space="preserve">Population, community and ecosystem effects of exotic herbivores:</w:t>
        </w:r>
        <w:r>
          <w:rPr>
            <w:rStyle w:val="Hyperlink"/>
          </w:rPr>
          <w:t xml:space="preserve"> </w:t>
        </w:r>
        <w:r>
          <w:rPr>
            <w:rStyle w:val="Hyperlink"/>
          </w:rPr>
          <w:t xml:space="preserve">A</w:t>
        </w:r>
        <w:r>
          <w:rPr>
            <w:rStyle w:val="Hyperlink"/>
          </w:rPr>
          <w:t xml:space="preserve"> </w:t>
        </w:r>
        <w:r>
          <w:rPr>
            <w:rStyle w:val="Hyperlink"/>
          </w:rPr>
          <w:t xml:space="preserve">growing global concern</w:t>
        </w:r>
      </w:hyperlink>
      <w:r>
        <w:t xml:space="preserve">.</w:t>
      </w:r>
      <w:r>
        <w:t xml:space="preserve"> </w:t>
      </w:r>
      <w:r>
        <w:rPr>
          <w:iCs/>
          <w:i/>
        </w:rPr>
        <w:t xml:space="preserve">Biological Invasions</w:t>
      </w:r>
      <w:r>
        <w:t xml:space="preserve"> </w:t>
      </w:r>
      <w:r>
        <w:rPr>
          <w:bCs/>
          <w:b/>
        </w:rPr>
        <w:t xml:space="preserve">12</w:t>
      </w:r>
      <w:r>
        <w:t xml:space="preserve">: 297–301.</w:t>
      </w:r>
    </w:p>
    <w:bookmarkEnd w:id="123"/>
    <w:bookmarkStart w:id="125"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124">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125"/>
    <w:bookmarkStart w:id="127" w:name="ref-rooney_deer_2001"/>
    <w:p>
      <w:pPr>
        <w:pStyle w:val="Bibliography"/>
      </w:pPr>
      <w:r>
        <w:rPr>
          <w:bCs/>
          <w:b/>
          <w:bCs/>
          <w:b/>
        </w:rPr>
        <w:t xml:space="preserve">Rooney TP</w:t>
      </w:r>
      <w:r>
        <w:t xml:space="preserve">.</w:t>
      </w:r>
      <w:r>
        <w:t xml:space="preserve"> </w:t>
      </w:r>
      <w:r>
        <w:rPr>
          <w:bCs/>
          <w:b/>
        </w:rPr>
        <w:t xml:space="preserve">2001</w:t>
      </w:r>
      <w:r>
        <w:t xml:space="preserve">.</w:t>
      </w:r>
      <w:r>
        <w:t xml:space="preserve"> </w:t>
      </w:r>
      <w:hyperlink r:id="rId126">
        <w:r>
          <w:rPr>
            <w:rStyle w:val="Hyperlink"/>
          </w:rPr>
          <w:t xml:space="preserve">Deer impacts on forest ecosystems: A</w:t>
        </w:r>
        <w:r>
          <w:rPr>
            <w:rStyle w:val="Hyperlink"/>
          </w:rPr>
          <w:t xml:space="preserve"> </w:t>
        </w:r>
        <w:r>
          <w:rPr>
            <w:rStyle w:val="Hyperlink"/>
          </w:rPr>
          <w:t xml:space="preserve">North American</w:t>
        </w:r>
        <w:r>
          <w:rPr>
            <w:rStyle w:val="Hyperlink"/>
          </w:rPr>
          <w:t xml:space="preserve"> </w:t>
        </w:r>
        <w:r>
          <w:rPr>
            <w:rStyle w:val="Hyperlink"/>
          </w:rPr>
          <w:t xml:space="preserve">perspective</w:t>
        </w:r>
      </w:hyperlink>
      <w:r>
        <w:t xml:space="preserve">.</w:t>
      </w:r>
      <w:r>
        <w:t xml:space="preserve"> </w:t>
      </w:r>
      <w:r>
        <w:rPr>
          <w:iCs/>
          <w:i/>
        </w:rPr>
        <w:t xml:space="preserve">Forestry: An International Journal of Forest Research</w:t>
      </w:r>
      <w:r>
        <w:t xml:space="preserve"> </w:t>
      </w:r>
      <w:r>
        <w:rPr>
          <w:bCs/>
          <w:b/>
        </w:rPr>
        <w:t xml:space="preserve">74</w:t>
      </w:r>
      <w:r>
        <w:t xml:space="preserve">: 201–208.</w:t>
      </w:r>
    </w:p>
    <w:bookmarkEnd w:id="127"/>
    <w:bookmarkStart w:id="129"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128">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129"/>
    <w:bookmarkStart w:id="131" w:name="ref-skandrani_nuisance_2014"/>
    <w:p>
      <w:pPr>
        <w:pStyle w:val="Bibliography"/>
      </w:pPr>
      <w:r>
        <w:rPr>
          <w:bCs/>
          <w:b/>
          <w:bCs/>
          <w:b/>
        </w:rPr>
        <w:t xml:space="preserve">Skandrani Z</w:t>
      </w:r>
      <w:r>
        <w:rPr>
          <w:bCs/>
          <w:b/>
        </w:rPr>
        <w:t xml:space="preserve">,</w:t>
      </w:r>
      <w:r>
        <w:rPr>
          <w:bCs/>
          <w:b/>
        </w:rPr>
        <w:t xml:space="preserve"> </w:t>
      </w:r>
      <w:r>
        <w:rPr>
          <w:bCs/>
          <w:b/>
          <w:bCs/>
          <w:b/>
        </w:rPr>
        <w:t xml:space="preserve">Lepetz S</w:t>
      </w:r>
      <w:r>
        <w:rPr>
          <w:bCs/>
          <w:b/>
        </w:rPr>
        <w:t xml:space="preserve">,</w:t>
      </w:r>
      <w:r>
        <w:rPr>
          <w:bCs/>
          <w:b/>
        </w:rPr>
        <w:t xml:space="preserve"> </w:t>
      </w:r>
      <w:r>
        <w:rPr>
          <w:bCs/>
          <w:b/>
          <w:bCs/>
          <w:b/>
        </w:rPr>
        <w:t xml:space="preserve">Prévot-Julliard A-C</w:t>
      </w:r>
      <w:r>
        <w:t xml:space="preserve">.</w:t>
      </w:r>
      <w:r>
        <w:t xml:space="preserve"> </w:t>
      </w:r>
      <w:r>
        <w:rPr>
          <w:bCs/>
          <w:b/>
        </w:rPr>
        <w:t xml:space="preserve">2014</w:t>
      </w:r>
      <w:r>
        <w:t xml:space="preserve">.</w:t>
      </w:r>
      <w:r>
        <w:t xml:space="preserve"> </w:t>
      </w:r>
      <w:hyperlink r:id="rId130">
        <w:r>
          <w:rPr>
            <w:rStyle w:val="Hyperlink"/>
          </w:rPr>
          <w:t xml:space="preserve">Nuisance species: Beyond the ecological perspective</w:t>
        </w:r>
      </w:hyperlink>
      <w:r>
        <w:t xml:space="preserve">.</w:t>
      </w:r>
      <w:r>
        <w:t xml:space="preserve"> </w:t>
      </w:r>
      <w:r>
        <w:rPr>
          <w:iCs/>
          <w:i/>
        </w:rPr>
        <w:t xml:space="preserve">Ecological Processes</w:t>
      </w:r>
      <w:r>
        <w:t xml:space="preserve"> </w:t>
      </w:r>
      <w:r>
        <w:rPr>
          <w:bCs/>
          <w:b/>
        </w:rPr>
        <w:t xml:space="preserve">3</w:t>
      </w:r>
      <w:r>
        <w:t xml:space="preserve">: 3.</w:t>
      </w:r>
    </w:p>
    <w:bookmarkEnd w:id="131"/>
    <w:bookmarkStart w:id="133" w:name="ref-turner_novel_2023a"/>
    <w:p>
      <w:pPr>
        <w:pStyle w:val="Bibliography"/>
      </w:pPr>
      <w:r>
        <w:rPr>
          <w:bCs/>
          <w:b/>
          <w:bCs/>
          <w:b/>
        </w:rPr>
        <w:t xml:space="preserve">Turner MG</w:t>
      </w:r>
      <w:r>
        <w:rPr>
          <w:bCs/>
          <w:b/>
        </w:rPr>
        <w:t xml:space="preserve">,</w:t>
      </w:r>
      <w:r>
        <w:rPr>
          <w:bCs/>
          <w:b/>
        </w:rPr>
        <w:t xml:space="preserve"> </w:t>
      </w:r>
      <w:r>
        <w:rPr>
          <w:bCs/>
          <w:b/>
          <w:bCs/>
          <w:b/>
        </w:rPr>
        <w:t xml:space="preserve">Seidl R</w:t>
      </w:r>
      <w:r>
        <w:t xml:space="preserve">.</w:t>
      </w:r>
      <w:r>
        <w:t xml:space="preserve"> </w:t>
      </w:r>
      <w:r>
        <w:rPr>
          <w:bCs/>
          <w:b/>
        </w:rPr>
        <w:t xml:space="preserve">2023</w:t>
      </w:r>
      <w:r>
        <w:t xml:space="preserve">.</w:t>
      </w:r>
      <w:r>
        <w:t xml:space="preserve"> </w:t>
      </w:r>
      <w:hyperlink r:id="rId132">
        <w:r>
          <w:rPr>
            <w:rStyle w:val="Hyperlink"/>
          </w:rPr>
          <w:t xml:space="preserve">Novel</w:t>
        </w:r>
        <w:r>
          <w:rPr>
            <w:rStyle w:val="Hyperlink"/>
          </w:rPr>
          <w:t xml:space="preserve"> </w:t>
        </w:r>
        <w:r>
          <w:rPr>
            <w:rStyle w:val="Hyperlink"/>
          </w:rPr>
          <w:t xml:space="preserve">Disturbance Regimes</w:t>
        </w:r>
        <w:r>
          <w:rPr>
            <w:rStyle w:val="Hyperlink"/>
          </w:rPr>
          <w:t xml:space="preserve"> </w:t>
        </w:r>
        <w:r>
          <w:rPr>
            <w:rStyle w:val="Hyperlink"/>
          </w:rPr>
          <w:t xml:space="preserve">and</w:t>
        </w:r>
        <w:r>
          <w:rPr>
            <w:rStyle w:val="Hyperlink"/>
          </w:rPr>
          <w:t xml:space="preserve"> </w:t>
        </w:r>
        <w:r>
          <w:rPr>
            <w:rStyle w:val="Hyperlink"/>
          </w:rPr>
          <w:t xml:space="preserve">Ecological Responses</w:t>
        </w:r>
      </w:hyperlink>
      <w:r>
        <w:t xml:space="preserve">.</w:t>
      </w:r>
      <w:r>
        <w:t xml:space="preserve"> </w:t>
      </w:r>
      <w:r>
        <w:rPr>
          <w:iCs/>
          <w:i/>
        </w:rPr>
        <w:t xml:space="preserve">Annual Review of Ecology, Evolution and Systematics</w:t>
      </w:r>
      <w:r>
        <w:t xml:space="preserve"> </w:t>
      </w:r>
      <w:r>
        <w:rPr>
          <w:bCs/>
          <w:b/>
        </w:rPr>
        <w:t xml:space="preserve">54</w:t>
      </w:r>
      <w:r>
        <w:t xml:space="preserve">: 63–83.</w:t>
      </w:r>
    </w:p>
    <w:bookmarkEnd w:id="133"/>
    <w:bookmarkStart w:id="135"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34">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35"/>
    <w:bookmarkEnd w:id="136"/>
    <w:bookmarkEnd w:id="137"/>
    <w:bookmarkStart w:id="138" w:name="supporting-information"/>
    <w:p>
      <w:pPr>
        <w:pStyle w:val="Heading1"/>
      </w:pPr>
      <w:r>
        <w:rPr>
          <w:rStyle w:val="SectionNumber"/>
        </w:rPr>
        <w:t xml:space="preserve">6</w:t>
      </w:r>
      <w:r>
        <w:tab/>
      </w:r>
      <w:r>
        <w:t xml:space="preserve">Supporting Information</w:t>
      </w:r>
    </w:p>
    <w:bookmarkEnd w:id="138"/>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hyperlink" Id="rId116" Target="https://doi.org/10.1002/eap.2837" TargetMode="External" /><Relationship Type="http://schemas.openxmlformats.org/officeDocument/2006/relationships/hyperlink" Id="rId91"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2" Target="https://doi.org/10.1007/s10530-009-9626-x" TargetMode="External" /><Relationship Type="http://schemas.openxmlformats.org/officeDocument/2006/relationships/hyperlink" Id="rId118" Target="https://doi.org/10.1007/s10530-013-0503-2" TargetMode="External" /><Relationship Type="http://schemas.openxmlformats.org/officeDocument/2006/relationships/hyperlink" Id="rId105" Target="https://doi.org/10.1007/s10530-013-0543-7" TargetMode="External" /><Relationship Type="http://schemas.openxmlformats.org/officeDocument/2006/relationships/hyperlink" Id="rId95" Target="https://doi.org/10.1007/s10530-021-02551-2" TargetMode="External" /><Relationship Type="http://schemas.openxmlformats.org/officeDocument/2006/relationships/hyperlink" Id="rId89" Target="https://doi.org/10.1007/s10531-013-0525-1" TargetMode="External" /><Relationship Type="http://schemas.openxmlformats.org/officeDocument/2006/relationships/hyperlink" Id="rId82"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28"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7" Target="https://doi.org/10.1038/s41558-020-00976-6" TargetMode="External" /><Relationship Type="http://schemas.openxmlformats.org/officeDocument/2006/relationships/hyperlink" Id="rId134"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4" Target="https://doi.org/10.1073/pnas.1810512116" TargetMode="External" /><Relationship Type="http://schemas.openxmlformats.org/officeDocument/2006/relationships/hyperlink" Id="rId87"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26" Target="https://doi.org/10.1093/forestry/74.3.201" TargetMode="External" /><Relationship Type="http://schemas.openxmlformats.org/officeDocument/2006/relationships/hyperlink" Id="rId114" Target="https://doi.org/10.1111/1365-2664.13375" TargetMode="External" /><Relationship Type="http://schemas.openxmlformats.org/officeDocument/2006/relationships/hyperlink" Id="rId93" Target="https://doi.org/10.1111/2041-210X.13756" TargetMode="External" /><Relationship Type="http://schemas.openxmlformats.org/officeDocument/2006/relationships/hyperlink" Id="rId103"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0"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09"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2" Target="https://doi.org/10.1146/annurev-ecolsys-110421-101120" TargetMode="External" /><Relationship Type="http://schemas.openxmlformats.org/officeDocument/2006/relationships/hyperlink" Id="rId99" Target="https://doi.org/10.1146/annurev-ento-011613-162051" TargetMode="External" /><Relationship Type="http://schemas.openxmlformats.org/officeDocument/2006/relationships/hyperlink" Id="rId130"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1"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7" Target="https://doi.org/10.1890/15-1176" TargetMode="External" /><Relationship Type="http://schemas.openxmlformats.org/officeDocument/2006/relationships/hyperlink" Id="rId101" Target="https://doi.org/10.1890/ES13-00223.1" TargetMode="External" /><Relationship Type="http://schemas.openxmlformats.org/officeDocument/2006/relationships/hyperlink" Id="rId84"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2/eap.2837" TargetMode="External" /><Relationship Type="http://schemas.openxmlformats.org/officeDocument/2006/relationships/hyperlink" Id="rId91"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2" Target="https://doi.org/10.1007/s10530-009-9626-x" TargetMode="External" /><Relationship Type="http://schemas.openxmlformats.org/officeDocument/2006/relationships/hyperlink" Id="rId118" Target="https://doi.org/10.1007/s10530-013-0503-2" TargetMode="External" /><Relationship Type="http://schemas.openxmlformats.org/officeDocument/2006/relationships/hyperlink" Id="rId105" Target="https://doi.org/10.1007/s10530-013-0543-7" TargetMode="External" /><Relationship Type="http://schemas.openxmlformats.org/officeDocument/2006/relationships/hyperlink" Id="rId95" Target="https://doi.org/10.1007/s10530-021-02551-2" TargetMode="External" /><Relationship Type="http://schemas.openxmlformats.org/officeDocument/2006/relationships/hyperlink" Id="rId89" Target="https://doi.org/10.1007/s10531-013-0525-1" TargetMode="External" /><Relationship Type="http://schemas.openxmlformats.org/officeDocument/2006/relationships/hyperlink" Id="rId82"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28"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7" Target="https://doi.org/10.1038/s41558-020-00976-6" TargetMode="External" /><Relationship Type="http://schemas.openxmlformats.org/officeDocument/2006/relationships/hyperlink" Id="rId134"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4" Target="https://doi.org/10.1073/pnas.1810512116" TargetMode="External" /><Relationship Type="http://schemas.openxmlformats.org/officeDocument/2006/relationships/hyperlink" Id="rId87"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26" Target="https://doi.org/10.1093/forestry/74.3.201" TargetMode="External" /><Relationship Type="http://schemas.openxmlformats.org/officeDocument/2006/relationships/hyperlink" Id="rId114" Target="https://doi.org/10.1111/1365-2664.13375" TargetMode="External" /><Relationship Type="http://schemas.openxmlformats.org/officeDocument/2006/relationships/hyperlink" Id="rId93" Target="https://doi.org/10.1111/2041-210X.13756" TargetMode="External" /><Relationship Type="http://schemas.openxmlformats.org/officeDocument/2006/relationships/hyperlink" Id="rId103"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0"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09"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2" Target="https://doi.org/10.1146/annurev-ecolsys-110421-101120" TargetMode="External" /><Relationship Type="http://schemas.openxmlformats.org/officeDocument/2006/relationships/hyperlink" Id="rId99" Target="https://doi.org/10.1146/annurev-ento-011613-162051" TargetMode="External" /><Relationship Type="http://schemas.openxmlformats.org/officeDocument/2006/relationships/hyperlink" Id="rId130"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1"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7" Target="https://doi.org/10.1890/15-1176" TargetMode="External" /><Relationship Type="http://schemas.openxmlformats.org/officeDocument/2006/relationships/hyperlink" Id="rId101" Target="https://doi.org/10.1890/ES13-00223.1" TargetMode="External" /><Relationship Type="http://schemas.openxmlformats.org/officeDocument/2006/relationships/hyperlink" Id="rId84"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2024-04-03T09:24:05Z</dcterms:created>
  <dcterms:modified xsi:type="dcterms:W3CDTF">2024-04-03T09:24:05Z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